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D383" w14:textId="76C4D629" w:rsidR="00856176" w:rsidRPr="00F7703A" w:rsidRDefault="00856176" w:rsidP="00CA2717">
      <w:pPr>
        <w:tabs>
          <w:tab w:val="left" w:pos="1008"/>
        </w:tabs>
        <w:jc w:val="center"/>
        <w:rPr>
          <w:rFonts w:asciiTheme="majorHAnsi" w:hAnsiTheme="majorHAnsi" w:cstheme="majorHAnsi"/>
          <w:b/>
          <w:szCs w:val="22"/>
          <w:lang w:val="en-US"/>
        </w:rPr>
      </w:pPr>
      <w:bookmarkStart w:id="0" w:name="_Hlk522969012"/>
      <w:r w:rsidRPr="00F7703A">
        <w:rPr>
          <w:rFonts w:asciiTheme="majorHAnsi" w:hAnsiTheme="majorHAnsi" w:cstheme="majorHAnsi"/>
          <w:b/>
          <w:szCs w:val="22"/>
          <w:lang w:val="en-US"/>
        </w:rPr>
        <w:t>CURRICULUM VITAE</w:t>
      </w:r>
    </w:p>
    <w:p w14:paraId="50A12417" w14:textId="77777777" w:rsidR="006538AC" w:rsidRPr="00F7703A" w:rsidRDefault="006538AC" w:rsidP="00A422C3">
      <w:pPr>
        <w:rPr>
          <w:rFonts w:asciiTheme="majorHAnsi" w:hAnsiTheme="majorHAnsi" w:cstheme="majorHAnsi"/>
          <w:szCs w:val="22"/>
          <w:lang w:val="en-US"/>
        </w:rPr>
      </w:pPr>
    </w:p>
    <w:p w14:paraId="754F5F3E" w14:textId="47923FA9" w:rsidR="00856176" w:rsidRPr="00F7703A" w:rsidRDefault="00856176" w:rsidP="00A422C3">
      <w:pPr>
        <w:rPr>
          <w:rFonts w:asciiTheme="majorHAnsi" w:hAnsiTheme="majorHAnsi" w:cstheme="majorHAnsi"/>
          <w:b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Family name:</w:t>
      </w:r>
      <w:r w:rsidR="00CA2717" w:rsidRPr="00F7703A">
        <w:rPr>
          <w:rFonts w:asciiTheme="majorHAnsi" w:hAnsiTheme="majorHAnsi" w:cstheme="majorHAnsi"/>
          <w:b/>
          <w:szCs w:val="22"/>
          <w:lang w:val="en-US"/>
        </w:rPr>
        <w:t xml:space="preserve"> </w:t>
      </w:r>
      <w:r w:rsidR="00961FB8"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="00A422C3" w:rsidRPr="00F7703A">
        <w:rPr>
          <w:rFonts w:asciiTheme="majorHAnsi" w:hAnsiTheme="majorHAnsi" w:cstheme="majorHAnsi"/>
          <w:b/>
          <w:szCs w:val="22"/>
          <w:lang w:val="en-US"/>
        </w:rPr>
        <w:tab/>
      </w:r>
      <w:proofErr w:type="spellStart"/>
      <w:r w:rsidR="00CA2717" w:rsidRPr="00F7703A">
        <w:rPr>
          <w:rFonts w:asciiTheme="majorHAnsi" w:hAnsiTheme="majorHAnsi" w:cstheme="majorHAnsi"/>
          <w:b/>
          <w:szCs w:val="22"/>
          <w:lang w:val="en-US"/>
        </w:rPr>
        <w:t>Bazilli</w:t>
      </w:r>
      <w:proofErr w:type="spellEnd"/>
      <w:r w:rsidRPr="00F7703A">
        <w:rPr>
          <w:rFonts w:asciiTheme="majorHAnsi" w:hAnsiTheme="majorHAnsi" w:cstheme="majorHAnsi"/>
          <w:b/>
          <w:szCs w:val="22"/>
          <w:lang w:val="en-US"/>
        </w:rPr>
        <w:tab/>
      </w:r>
    </w:p>
    <w:p w14:paraId="0105C75C" w14:textId="7386F1ED" w:rsidR="00856176" w:rsidRPr="00F7703A" w:rsidRDefault="00856176" w:rsidP="00A422C3">
      <w:pPr>
        <w:rPr>
          <w:rFonts w:asciiTheme="majorHAnsi" w:hAnsiTheme="majorHAnsi" w:cstheme="majorHAnsi"/>
          <w:b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First names:</w:t>
      </w:r>
      <w:r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="00A422C3"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="00CA2717" w:rsidRPr="00F7703A">
        <w:rPr>
          <w:rFonts w:asciiTheme="majorHAnsi" w:hAnsiTheme="majorHAnsi" w:cstheme="majorHAnsi"/>
          <w:b/>
          <w:szCs w:val="22"/>
          <w:lang w:val="en-US"/>
        </w:rPr>
        <w:t>Susan</w:t>
      </w:r>
      <w:r w:rsidR="00961FB8" w:rsidRPr="00F7703A">
        <w:rPr>
          <w:rFonts w:asciiTheme="majorHAnsi" w:hAnsiTheme="majorHAnsi" w:cstheme="majorHAnsi"/>
          <w:b/>
          <w:szCs w:val="22"/>
          <w:lang w:val="en-US"/>
        </w:rPr>
        <w:t xml:space="preserve"> Margaret</w:t>
      </w:r>
    </w:p>
    <w:p w14:paraId="55BDD562" w14:textId="1AFC14F9" w:rsidR="00856176" w:rsidRPr="00F7703A" w:rsidRDefault="00856176" w:rsidP="00A422C3">
      <w:pPr>
        <w:rPr>
          <w:rFonts w:asciiTheme="majorHAnsi" w:hAnsiTheme="majorHAnsi" w:cstheme="majorHAnsi"/>
          <w:b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Date of birth:</w:t>
      </w:r>
      <w:r w:rsidR="00A422C3"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="00AF735D" w:rsidRPr="00F7703A">
        <w:rPr>
          <w:rFonts w:asciiTheme="majorHAnsi" w:hAnsiTheme="majorHAnsi" w:cstheme="majorHAnsi"/>
          <w:b/>
          <w:szCs w:val="22"/>
          <w:lang w:val="en-US"/>
        </w:rPr>
        <w:t>23.01.1954</w:t>
      </w:r>
    </w:p>
    <w:p w14:paraId="6EAFFCF2" w14:textId="50F25D32" w:rsidR="00856176" w:rsidRPr="00F7703A" w:rsidRDefault="00856176" w:rsidP="00A422C3">
      <w:pPr>
        <w:rPr>
          <w:rFonts w:asciiTheme="majorHAnsi" w:hAnsiTheme="majorHAnsi" w:cstheme="majorHAnsi"/>
          <w:b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Passport holder:</w:t>
      </w:r>
      <w:r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="00AF735D" w:rsidRPr="00F7703A">
        <w:rPr>
          <w:rFonts w:asciiTheme="majorHAnsi" w:hAnsiTheme="majorHAnsi" w:cstheme="majorHAnsi"/>
          <w:b/>
          <w:szCs w:val="22"/>
          <w:lang w:val="en-US"/>
        </w:rPr>
        <w:t>C</w:t>
      </w:r>
      <w:r w:rsidR="00A422C3" w:rsidRPr="00F7703A">
        <w:rPr>
          <w:rFonts w:asciiTheme="majorHAnsi" w:hAnsiTheme="majorHAnsi" w:cstheme="majorHAnsi"/>
          <w:b/>
          <w:szCs w:val="22"/>
          <w:lang w:val="en-US"/>
        </w:rPr>
        <w:t>anada</w:t>
      </w:r>
    </w:p>
    <w:p w14:paraId="7CEE3501" w14:textId="1B4F9B30" w:rsidR="006538AC" w:rsidRPr="00F7703A" w:rsidRDefault="006538AC" w:rsidP="00A422C3">
      <w:pPr>
        <w:rPr>
          <w:rFonts w:asciiTheme="majorHAnsi" w:hAnsiTheme="majorHAnsi" w:cstheme="majorHAnsi"/>
          <w:b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Contact:</w:t>
      </w:r>
      <w:r w:rsidRPr="00F7703A">
        <w:rPr>
          <w:rFonts w:asciiTheme="majorHAnsi" w:hAnsiTheme="majorHAnsi" w:cstheme="majorHAnsi"/>
          <w:b/>
          <w:szCs w:val="22"/>
          <w:lang w:val="en-US"/>
        </w:rPr>
        <w:tab/>
      </w:r>
      <w:r w:rsidRPr="00F7703A">
        <w:rPr>
          <w:rFonts w:asciiTheme="majorHAnsi" w:hAnsiTheme="majorHAnsi" w:cstheme="majorHAnsi"/>
          <w:b/>
          <w:szCs w:val="22"/>
          <w:lang w:val="en-US"/>
        </w:rPr>
        <w:tab/>
        <w:t xml:space="preserve">+1 778 997 3108  </w:t>
      </w:r>
      <w:r w:rsidR="008654DC">
        <w:rPr>
          <w:rFonts w:asciiTheme="majorHAnsi" w:hAnsiTheme="majorHAnsi" w:cstheme="majorHAnsi"/>
          <w:b/>
          <w:szCs w:val="22"/>
          <w:lang w:val="en-US"/>
        </w:rPr>
        <w:t xml:space="preserve">  </w:t>
      </w:r>
      <w:bookmarkStart w:id="1" w:name="_GoBack"/>
      <w:bookmarkEnd w:id="1"/>
      <w:r w:rsidRPr="00F7703A">
        <w:rPr>
          <w:rFonts w:asciiTheme="majorHAnsi" w:hAnsiTheme="majorHAnsi" w:cstheme="majorHAnsi"/>
          <w:b/>
          <w:szCs w:val="22"/>
          <w:lang w:val="en-US"/>
        </w:rPr>
        <w:t>sbazilli@gmail.com</w:t>
      </w:r>
    </w:p>
    <w:p w14:paraId="174E03D6" w14:textId="77777777" w:rsidR="0043740D" w:rsidRPr="00F7703A" w:rsidRDefault="0043740D" w:rsidP="00A422C3">
      <w:pPr>
        <w:rPr>
          <w:rFonts w:asciiTheme="majorHAnsi" w:hAnsiTheme="majorHAnsi" w:cstheme="majorHAnsi"/>
          <w:b/>
          <w:szCs w:val="22"/>
          <w:lang w:val="en-US"/>
        </w:rPr>
      </w:pPr>
    </w:p>
    <w:tbl>
      <w:tblPr>
        <w:tblW w:w="9617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017"/>
        <w:gridCol w:w="6600"/>
      </w:tblGrid>
      <w:tr w:rsidR="00856176" w:rsidRPr="00F7703A" w14:paraId="58E31F0E" w14:textId="77777777" w:rsidTr="0043740D">
        <w:trPr>
          <w:jc w:val="center"/>
        </w:trPr>
        <w:tc>
          <w:tcPr>
            <w:tcW w:w="301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E419AC5" w14:textId="6D8FAF84" w:rsidR="00856176" w:rsidRPr="00F7703A" w:rsidRDefault="00856176" w:rsidP="002526DC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Institution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5DB4B43" w14:textId="77777777" w:rsidR="00856176" w:rsidRPr="00F7703A" w:rsidRDefault="00856176" w:rsidP="00285AE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Degree(s) or Diploma(s) obtained:</w:t>
            </w:r>
          </w:p>
        </w:tc>
      </w:tr>
      <w:tr w:rsidR="00274D1F" w:rsidRPr="00F7703A" w14:paraId="09620FF5" w14:textId="77777777" w:rsidTr="0043740D">
        <w:trPr>
          <w:jc w:val="center"/>
        </w:trPr>
        <w:tc>
          <w:tcPr>
            <w:tcW w:w="3017" w:type="dxa"/>
            <w:tcBorders>
              <w:left w:val="double" w:sz="6" w:space="0" w:color="auto"/>
              <w:bottom w:val="single" w:sz="6" w:space="0" w:color="auto"/>
            </w:tcBorders>
          </w:tcPr>
          <w:p w14:paraId="2A5D32C1" w14:textId="0C48B2A7" w:rsidR="00274D1F" w:rsidRPr="00F7703A" w:rsidRDefault="00274D1F" w:rsidP="00C3726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2019</w:t>
            </w: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14:paraId="5470E084" w14:textId="7A47EBFD" w:rsidR="00274D1F" w:rsidRPr="00F7703A" w:rsidRDefault="00274D1F" w:rsidP="00285AEA">
            <w:pPr>
              <w:pStyle w:val="normaltableau"/>
              <w:spacing w:before="0" w:after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Ph.D. University of British Columbia</w:t>
            </w:r>
          </w:p>
        </w:tc>
      </w:tr>
      <w:tr w:rsidR="00856176" w:rsidRPr="00F7703A" w14:paraId="779DA058" w14:textId="77777777" w:rsidTr="0043740D">
        <w:trPr>
          <w:jc w:val="center"/>
        </w:trPr>
        <w:tc>
          <w:tcPr>
            <w:tcW w:w="3017" w:type="dxa"/>
            <w:tcBorders>
              <w:left w:val="double" w:sz="6" w:space="0" w:color="auto"/>
              <w:bottom w:val="single" w:sz="6" w:space="0" w:color="auto"/>
            </w:tcBorders>
          </w:tcPr>
          <w:p w14:paraId="1C2B5480" w14:textId="3CE21742" w:rsidR="00856176" w:rsidRPr="00F7703A" w:rsidRDefault="00C37261" w:rsidP="00C3726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2010</w:t>
            </w: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14:paraId="45556201" w14:textId="51D786B3" w:rsidR="00856176" w:rsidRPr="00F7703A" w:rsidRDefault="00C37261" w:rsidP="00285AEA">
            <w:pPr>
              <w:pStyle w:val="normaltableau"/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LL.M. University of British Columbia  </w:t>
            </w:r>
          </w:p>
        </w:tc>
      </w:tr>
      <w:tr w:rsidR="00856176" w:rsidRPr="00F7703A" w14:paraId="64078F51" w14:textId="77777777" w:rsidTr="0043740D">
        <w:trPr>
          <w:jc w:val="center"/>
        </w:trPr>
        <w:tc>
          <w:tcPr>
            <w:tcW w:w="30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51D43F4" w14:textId="545752FF" w:rsidR="00856176" w:rsidRPr="00F7703A" w:rsidRDefault="00C37261" w:rsidP="00C37261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1985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4EEBC" w14:textId="3B0E514B" w:rsidR="00856176" w:rsidRPr="00F7703A" w:rsidRDefault="007B6853" w:rsidP="00285AEA">
            <w:pPr>
              <w:pStyle w:val="normaltableau"/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Barrister &amp; </w:t>
            </w:r>
            <w:r w:rsidR="00C37261" w:rsidRPr="00F7703A">
              <w:rPr>
                <w:rFonts w:asciiTheme="majorHAnsi" w:hAnsiTheme="majorHAnsi" w:cstheme="majorHAnsi"/>
                <w:szCs w:val="22"/>
              </w:rPr>
              <w:t xml:space="preserve">Solicitor, Law Society Upper Canada  </w:t>
            </w:r>
          </w:p>
        </w:tc>
      </w:tr>
      <w:tr w:rsidR="00C37261" w:rsidRPr="00F7703A" w14:paraId="7B0DC0C9" w14:textId="77777777" w:rsidTr="0043740D">
        <w:trPr>
          <w:jc w:val="center"/>
        </w:trPr>
        <w:tc>
          <w:tcPr>
            <w:tcW w:w="30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80CCF11" w14:textId="1620E796" w:rsidR="00C37261" w:rsidRPr="00F7703A" w:rsidRDefault="00C37261" w:rsidP="00C37261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1</w:t>
            </w:r>
            <w:r w:rsidR="007B6853" w:rsidRPr="00F7703A">
              <w:rPr>
                <w:rFonts w:asciiTheme="majorHAnsi" w:hAnsiTheme="majorHAnsi" w:cstheme="majorHAnsi"/>
                <w:szCs w:val="22"/>
              </w:rPr>
              <w:t>981-1</w:t>
            </w:r>
            <w:r w:rsidRPr="00F7703A">
              <w:rPr>
                <w:rFonts w:asciiTheme="majorHAnsi" w:hAnsiTheme="majorHAnsi" w:cstheme="majorHAnsi"/>
                <w:szCs w:val="22"/>
              </w:rPr>
              <w:t>984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70738D" w14:textId="5C19AED9" w:rsidR="00C37261" w:rsidRPr="00F7703A" w:rsidRDefault="00C37261" w:rsidP="00285AEA">
            <w:pPr>
              <w:pStyle w:val="normaltableau"/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LL.B., </w:t>
            </w:r>
            <w:r w:rsidR="007B6853" w:rsidRPr="00F7703A">
              <w:rPr>
                <w:rFonts w:asciiTheme="majorHAnsi" w:hAnsiTheme="majorHAnsi" w:cstheme="majorHAnsi"/>
                <w:szCs w:val="22"/>
              </w:rPr>
              <w:t xml:space="preserve">(J.D.)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Osgoode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Hall Law </w:t>
            </w:r>
            <w:proofErr w:type="gramStart"/>
            <w:r w:rsidRPr="00F7703A">
              <w:rPr>
                <w:rFonts w:asciiTheme="majorHAnsi" w:hAnsiTheme="majorHAnsi" w:cstheme="majorHAnsi"/>
                <w:szCs w:val="22"/>
              </w:rPr>
              <w:t>School,  Canada</w:t>
            </w:r>
            <w:proofErr w:type="gramEnd"/>
          </w:p>
        </w:tc>
      </w:tr>
      <w:tr w:rsidR="00C37261" w:rsidRPr="00F7703A" w14:paraId="33CBB052" w14:textId="77777777" w:rsidTr="0043740D">
        <w:trPr>
          <w:jc w:val="center"/>
        </w:trPr>
        <w:tc>
          <w:tcPr>
            <w:tcW w:w="30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D2D7B52" w14:textId="1B565487" w:rsidR="00C37261" w:rsidRPr="00F7703A" w:rsidRDefault="007B6853" w:rsidP="00C37261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1975-</w:t>
            </w:r>
            <w:r w:rsidR="00C37261" w:rsidRPr="00F7703A">
              <w:rPr>
                <w:rFonts w:asciiTheme="majorHAnsi" w:hAnsiTheme="majorHAnsi" w:cstheme="majorHAnsi"/>
                <w:szCs w:val="22"/>
              </w:rPr>
              <w:t>1978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E0EC08" w14:textId="0987966D" w:rsidR="00C37261" w:rsidRPr="00F7703A" w:rsidRDefault="00C37261" w:rsidP="00C37261">
            <w:pPr>
              <w:pStyle w:val="Heading5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7703A">
              <w:rPr>
                <w:rFonts w:asciiTheme="majorHAnsi" w:hAnsiTheme="majorHAnsi" w:cstheme="majorHAnsi"/>
                <w:sz w:val="22"/>
                <w:szCs w:val="22"/>
              </w:rPr>
              <w:t>B.A. Hons. Queens University, Kingston</w:t>
            </w:r>
          </w:p>
        </w:tc>
      </w:tr>
    </w:tbl>
    <w:p w14:paraId="1111FB5B" w14:textId="77777777" w:rsidR="00856176" w:rsidRPr="00F7703A" w:rsidRDefault="00856176" w:rsidP="00856176">
      <w:pPr>
        <w:rPr>
          <w:rFonts w:asciiTheme="majorHAnsi" w:hAnsiTheme="majorHAnsi" w:cstheme="majorHAnsi"/>
          <w:b/>
          <w:szCs w:val="22"/>
          <w:lang w:val="en-US"/>
        </w:rPr>
      </w:pPr>
    </w:p>
    <w:p w14:paraId="424AD157" w14:textId="430A0577" w:rsidR="00856176" w:rsidRPr="00F7703A" w:rsidRDefault="00095F82" w:rsidP="00856176">
      <w:pPr>
        <w:spacing w:before="120"/>
        <w:rPr>
          <w:rFonts w:asciiTheme="majorHAnsi" w:hAnsiTheme="majorHAnsi" w:cstheme="majorHAnsi"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M</w:t>
      </w:r>
      <w:r w:rsidR="00856176" w:rsidRPr="00F7703A">
        <w:rPr>
          <w:rFonts w:asciiTheme="majorHAnsi" w:hAnsiTheme="majorHAnsi" w:cstheme="majorHAnsi"/>
          <w:b/>
          <w:szCs w:val="22"/>
          <w:lang w:val="en-US"/>
        </w:rPr>
        <w:t>embership of professional bodies:</w:t>
      </w:r>
      <w:r w:rsidR="00C22448" w:rsidRPr="00F7703A">
        <w:rPr>
          <w:rFonts w:asciiTheme="majorHAnsi" w:hAnsiTheme="majorHAnsi" w:cstheme="majorHAnsi"/>
          <w:b/>
          <w:szCs w:val="22"/>
          <w:lang w:val="en-US"/>
        </w:rPr>
        <w:t xml:space="preserve"> </w:t>
      </w:r>
      <w:r w:rsidR="00C22448" w:rsidRPr="00F7703A">
        <w:rPr>
          <w:rFonts w:asciiTheme="majorHAnsi" w:hAnsiTheme="majorHAnsi" w:cstheme="majorHAnsi"/>
          <w:szCs w:val="22"/>
          <w:lang w:val="en-US"/>
        </w:rPr>
        <w:t>Gender and Water Alliance; Law and Society</w:t>
      </w:r>
      <w:r w:rsidR="00A422C3" w:rsidRPr="00F7703A">
        <w:rPr>
          <w:rFonts w:asciiTheme="majorHAnsi" w:hAnsiTheme="majorHAnsi" w:cstheme="majorHAnsi"/>
          <w:szCs w:val="22"/>
          <w:lang w:val="en-US"/>
        </w:rPr>
        <w:t xml:space="preserve">; </w:t>
      </w:r>
      <w:r w:rsidR="00C93FA0" w:rsidRPr="00F7703A">
        <w:rPr>
          <w:rFonts w:asciiTheme="majorHAnsi" w:hAnsiTheme="majorHAnsi" w:cstheme="majorHAnsi"/>
          <w:szCs w:val="22"/>
          <w:lang w:val="en-US"/>
        </w:rPr>
        <w:t>Women’s Human Rights Institute</w:t>
      </w:r>
      <w:r w:rsidR="007B6853" w:rsidRPr="00F7703A">
        <w:rPr>
          <w:rFonts w:asciiTheme="majorHAnsi" w:hAnsiTheme="majorHAnsi" w:cstheme="majorHAnsi"/>
          <w:szCs w:val="22"/>
          <w:lang w:val="en-US"/>
        </w:rPr>
        <w:t>; Board Member of the World Federalists Movement Canada</w:t>
      </w:r>
      <w:r w:rsidR="00F4045B" w:rsidRPr="00F7703A">
        <w:rPr>
          <w:rFonts w:asciiTheme="majorHAnsi" w:hAnsiTheme="majorHAnsi" w:cstheme="majorHAnsi"/>
          <w:szCs w:val="22"/>
          <w:lang w:val="en-US"/>
        </w:rPr>
        <w:t>; Member of</w:t>
      </w:r>
      <w:r w:rsidR="00A422C3" w:rsidRPr="00F7703A">
        <w:rPr>
          <w:rFonts w:asciiTheme="majorHAnsi" w:hAnsiTheme="majorHAnsi" w:cstheme="majorHAnsi"/>
          <w:szCs w:val="22"/>
          <w:lang w:val="en-US"/>
        </w:rPr>
        <w:t xml:space="preserve"> AWID</w:t>
      </w:r>
      <w:r w:rsidR="006538AC" w:rsidRPr="00F7703A">
        <w:rPr>
          <w:rFonts w:asciiTheme="majorHAnsi" w:hAnsiTheme="majorHAnsi" w:cstheme="majorHAnsi"/>
          <w:szCs w:val="22"/>
          <w:lang w:val="en-US"/>
        </w:rPr>
        <w:t>; UNESCO World Water Assessment Program Gender Indicators Working Group; Gender and Evaluation Network</w:t>
      </w:r>
      <w:r w:rsidR="00274D1F">
        <w:rPr>
          <w:rFonts w:asciiTheme="majorHAnsi" w:hAnsiTheme="majorHAnsi" w:cstheme="majorHAnsi"/>
          <w:szCs w:val="22"/>
          <w:lang w:val="en-US"/>
        </w:rPr>
        <w:t>; member UNDP Social and Environmental Standards Roster; member UNDP Crisis Response Unit Roster</w:t>
      </w:r>
      <w:r w:rsidR="00A422C3" w:rsidRPr="00F7703A">
        <w:rPr>
          <w:rFonts w:asciiTheme="majorHAnsi" w:hAnsiTheme="majorHAnsi" w:cstheme="majorHAnsi"/>
          <w:szCs w:val="22"/>
          <w:lang w:val="en-US"/>
        </w:rPr>
        <w:t>.</w:t>
      </w:r>
    </w:p>
    <w:p w14:paraId="020EE4EE" w14:textId="66A6B61E" w:rsidR="00856176" w:rsidRPr="00F7703A" w:rsidRDefault="00856176" w:rsidP="00856176">
      <w:pPr>
        <w:spacing w:before="120"/>
        <w:rPr>
          <w:rFonts w:asciiTheme="majorHAnsi" w:hAnsiTheme="majorHAnsi" w:cstheme="majorHAnsi"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Present position:</w:t>
      </w:r>
      <w:r w:rsidR="006538AC" w:rsidRPr="00F7703A">
        <w:rPr>
          <w:rFonts w:asciiTheme="majorHAnsi" w:hAnsiTheme="majorHAnsi" w:cstheme="majorHAnsi"/>
          <w:b/>
          <w:szCs w:val="22"/>
          <w:lang w:val="en-US"/>
        </w:rPr>
        <w:t xml:space="preserve"> </w:t>
      </w:r>
      <w:r w:rsidR="00AF735D" w:rsidRPr="00F7703A">
        <w:rPr>
          <w:rFonts w:asciiTheme="majorHAnsi" w:hAnsiTheme="majorHAnsi" w:cstheme="majorHAnsi"/>
          <w:szCs w:val="22"/>
          <w:lang w:val="en-US"/>
        </w:rPr>
        <w:t>Director, International Women’s Rights Project</w:t>
      </w:r>
      <w:r w:rsidR="007B6853" w:rsidRPr="00F7703A">
        <w:rPr>
          <w:rFonts w:asciiTheme="majorHAnsi" w:hAnsiTheme="majorHAnsi" w:cstheme="majorHAnsi"/>
          <w:szCs w:val="22"/>
          <w:lang w:val="en-US"/>
        </w:rPr>
        <w:t xml:space="preserve">; International human rights lawyer; Consultant on gender </w:t>
      </w:r>
      <w:r w:rsidR="003F212E" w:rsidRPr="00F7703A">
        <w:rPr>
          <w:rFonts w:asciiTheme="majorHAnsi" w:hAnsiTheme="majorHAnsi" w:cstheme="majorHAnsi"/>
          <w:szCs w:val="22"/>
          <w:lang w:val="en-US"/>
        </w:rPr>
        <w:t>equality</w:t>
      </w:r>
      <w:r w:rsidR="00AD0686" w:rsidRPr="00F7703A">
        <w:rPr>
          <w:rFonts w:asciiTheme="majorHAnsi" w:hAnsiTheme="majorHAnsi" w:cstheme="majorHAnsi"/>
          <w:szCs w:val="22"/>
          <w:lang w:val="en-US"/>
        </w:rPr>
        <w:t>, women’s empowerment</w:t>
      </w:r>
      <w:r w:rsidR="003F212E" w:rsidRPr="00F7703A">
        <w:rPr>
          <w:rFonts w:asciiTheme="majorHAnsi" w:hAnsiTheme="majorHAnsi" w:cstheme="majorHAnsi"/>
          <w:szCs w:val="22"/>
          <w:lang w:val="en-US"/>
        </w:rPr>
        <w:t xml:space="preserve"> </w:t>
      </w:r>
      <w:r w:rsidR="007B6853" w:rsidRPr="00F7703A">
        <w:rPr>
          <w:rFonts w:asciiTheme="majorHAnsi" w:hAnsiTheme="majorHAnsi" w:cstheme="majorHAnsi"/>
          <w:szCs w:val="22"/>
          <w:lang w:val="en-US"/>
        </w:rPr>
        <w:t xml:space="preserve">and </w:t>
      </w:r>
      <w:r w:rsidR="00AD0686" w:rsidRPr="00F7703A">
        <w:rPr>
          <w:rFonts w:asciiTheme="majorHAnsi" w:hAnsiTheme="majorHAnsi" w:cstheme="majorHAnsi"/>
          <w:szCs w:val="22"/>
          <w:lang w:val="en-US"/>
        </w:rPr>
        <w:t xml:space="preserve">international </w:t>
      </w:r>
      <w:r w:rsidR="007B6853" w:rsidRPr="00F7703A">
        <w:rPr>
          <w:rFonts w:asciiTheme="majorHAnsi" w:hAnsiTheme="majorHAnsi" w:cstheme="majorHAnsi"/>
          <w:szCs w:val="22"/>
          <w:lang w:val="en-US"/>
        </w:rPr>
        <w:t>development</w:t>
      </w:r>
      <w:r w:rsidR="00AD0686" w:rsidRPr="00F7703A">
        <w:rPr>
          <w:rFonts w:asciiTheme="majorHAnsi" w:hAnsiTheme="majorHAnsi" w:cstheme="majorHAnsi"/>
          <w:szCs w:val="22"/>
          <w:lang w:val="en-US"/>
        </w:rPr>
        <w:t xml:space="preserve">. Evaluation in various sectors: gender, women’s movements, environment, </w:t>
      </w:r>
      <w:r w:rsidR="00274D1F">
        <w:rPr>
          <w:rFonts w:asciiTheme="majorHAnsi" w:hAnsiTheme="majorHAnsi" w:cstheme="majorHAnsi"/>
          <w:szCs w:val="22"/>
          <w:lang w:val="en-US"/>
        </w:rPr>
        <w:t xml:space="preserve">green economy, </w:t>
      </w:r>
      <w:r w:rsidR="00AD0686" w:rsidRPr="00F7703A">
        <w:rPr>
          <w:rFonts w:asciiTheme="majorHAnsi" w:hAnsiTheme="majorHAnsi" w:cstheme="majorHAnsi"/>
          <w:szCs w:val="22"/>
          <w:lang w:val="en-US"/>
        </w:rPr>
        <w:t>climate change and water.</w:t>
      </w:r>
    </w:p>
    <w:p w14:paraId="06501DC1" w14:textId="23349AC7" w:rsidR="00961FB8" w:rsidRPr="00F7703A" w:rsidRDefault="00961FB8" w:rsidP="00961FB8">
      <w:pPr>
        <w:spacing w:before="120"/>
        <w:rPr>
          <w:rFonts w:asciiTheme="majorHAnsi" w:hAnsiTheme="majorHAnsi" w:cstheme="majorHAnsi"/>
          <w:szCs w:val="22"/>
          <w:lang w:val="en-US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 xml:space="preserve">Key qualifications: </w:t>
      </w:r>
      <w:r w:rsidRPr="00F7703A">
        <w:rPr>
          <w:rFonts w:asciiTheme="majorHAnsi" w:hAnsiTheme="majorHAnsi" w:cstheme="majorHAnsi"/>
          <w:szCs w:val="22"/>
          <w:lang w:val="en-US"/>
        </w:rPr>
        <w:t xml:space="preserve"> </w:t>
      </w:r>
      <w:r w:rsidR="00A422C3" w:rsidRPr="00F7703A">
        <w:rPr>
          <w:rFonts w:asciiTheme="majorHAnsi" w:hAnsiTheme="majorHAnsi" w:cstheme="majorHAnsi"/>
          <w:szCs w:val="22"/>
          <w:lang w:val="en-US"/>
        </w:rPr>
        <w:t xml:space="preserve">Women’s human rights. </w:t>
      </w:r>
      <w:r w:rsidRPr="00F7703A">
        <w:rPr>
          <w:rFonts w:asciiTheme="majorHAnsi" w:hAnsiTheme="majorHAnsi" w:cstheme="majorHAnsi"/>
          <w:szCs w:val="22"/>
          <w:lang w:val="en-US"/>
        </w:rPr>
        <w:t xml:space="preserve">Gender Analyses, Gender Action Plans, Evaluations on Gender. Expertise on </w:t>
      </w:r>
      <w:r w:rsidR="00DE231D" w:rsidRPr="00F7703A">
        <w:rPr>
          <w:rFonts w:asciiTheme="majorHAnsi" w:hAnsiTheme="majorHAnsi" w:cstheme="majorHAnsi"/>
          <w:szCs w:val="22"/>
          <w:lang w:val="en-US"/>
        </w:rPr>
        <w:t>environment, international waters</w:t>
      </w:r>
      <w:r w:rsidRPr="00F7703A">
        <w:rPr>
          <w:rFonts w:asciiTheme="majorHAnsi" w:hAnsiTheme="majorHAnsi" w:cstheme="majorHAnsi"/>
          <w:szCs w:val="22"/>
          <w:lang w:val="en-US"/>
        </w:rPr>
        <w:t xml:space="preserve"> and climate change. </w:t>
      </w:r>
      <w:r w:rsidR="003F212E" w:rsidRPr="00F7703A">
        <w:rPr>
          <w:rFonts w:asciiTheme="majorHAnsi" w:hAnsiTheme="majorHAnsi" w:cstheme="majorHAnsi"/>
          <w:szCs w:val="22"/>
          <w:lang w:val="en-US"/>
        </w:rPr>
        <w:t>Extensive field experience.</w:t>
      </w:r>
    </w:p>
    <w:p w14:paraId="3422948B" w14:textId="2DA96094" w:rsidR="0043740D" w:rsidRPr="00F7703A" w:rsidRDefault="0043740D" w:rsidP="00961FB8">
      <w:pPr>
        <w:spacing w:before="120"/>
        <w:rPr>
          <w:rFonts w:asciiTheme="majorHAnsi" w:hAnsiTheme="majorHAnsi" w:cstheme="majorHAnsi"/>
          <w:b/>
          <w:szCs w:val="22"/>
          <w:lang w:val="en-US"/>
        </w:rPr>
      </w:pPr>
    </w:p>
    <w:p w14:paraId="642316A7" w14:textId="77777777" w:rsidR="006538AC" w:rsidRPr="00F7703A" w:rsidRDefault="006538AC" w:rsidP="006538AC">
      <w:pPr>
        <w:rPr>
          <w:rFonts w:asciiTheme="majorHAnsi" w:hAnsiTheme="majorHAnsi" w:cstheme="majorHAnsi"/>
          <w:b/>
          <w:bCs/>
          <w:szCs w:val="22"/>
        </w:rPr>
      </w:pPr>
      <w:proofErr w:type="spellStart"/>
      <w:r w:rsidRPr="00F7703A">
        <w:rPr>
          <w:rFonts w:asciiTheme="majorHAnsi" w:hAnsiTheme="majorHAnsi" w:cstheme="majorHAnsi"/>
          <w:b/>
          <w:bCs/>
          <w:szCs w:val="22"/>
        </w:rPr>
        <w:t>Countries</w:t>
      </w:r>
      <w:proofErr w:type="spellEnd"/>
      <w:r w:rsidRPr="00F7703A">
        <w:rPr>
          <w:rFonts w:asciiTheme="majorHAnsi" w:hAnsiTheme="majorHAnsi" w:cstheme="majorHAnsi"/>
          <w:b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bCs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b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bCs/>
          <w:szCs w:val="22"/>
        </w:rPr>
        <w:t>Work</w:t>
      </w:r>
      <w:proofErr w:type="spellEnd"/>
      <w:r w:rsidRPr="00F7703A">
        <w:rPr>
          <w:rFonts w:asciiTheme="majorHAnsi" w:hAnsiTheme="majorHAnsi" w:cstheme="majorHAnsi"/>
          <w:b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bCs/>
          <w:szCs w:val="22"/>
        </w:rPr>
        <w:t>Experience</w:t>
      </w:r>
      <w:proofErr w:type="spellEnd"/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6538AC" w:rsidRPr="00F7703A" w14:paraId="085A2DFD" w14:textId="77777777" w:rsidTr="00F7703A">
        <w:tc>
          <w:tcPr>
            <w:tcW w:w="9990" w:type="dxa"/>
          </w:tcPr>
          <w:p w14:paraId="3128E15B" w14:textId="0E1EC2F8" w:rsidR="006538AC" w:rsidRPr="00F7703A" w:rsidRDefault="006538AC" w:rsidP="00FB7C9C">
            <w:pPr>
              <w:widowControl w:val="0"/>
              <w:tabs>
                <w:tab w:val="left" w:pos="823"/>
              </w:tabs>
              <w:spacing w:line="269" w:lineRule="exact"/>
              <w:contextualSpacing/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</w:pP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Africa: Botswana, </w:t>
            </w:r>
            <w:r w:rsidR="00274D1F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Burkina Faso,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Ethiopia, Kenya, Lesotho, Madagascar, Mozambique, Namibia, Nigeria, </w:t>
            </w:r>
            <w:r w:rsidR="00274D1F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Rwanda,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>South Africa, Swaziland, Tanzania, Uganda, Zimbabwe</w:t>
            </w:r>
          </w:p>
        </w:tc>
      </w:tr>
      <w:tr w:rsidR="006538AC" w:rsidRPr="00F7703A" w14:paraId="34490BD8" w14:textId="77777777" w:rsidTr="00F7703A">
        <w:tc>
          <w:tcPr>
            <w:tcW w:w="9990" w:type="dxa"/>
          </w:tcPr>
          <w:p w14:paraId="06A2F2CB" w14:textId="1DA004BF" w:rsidR="006538AC" w:rsidRPr="00F7703A" w:rsidRDefault="006538AC" w:rsidP="00FB7C9C">
            <w:pPr>
              <w:widowControl w:val="0"/>
              <w:tabs>
                <w:tab w:val="left" w:pos="823"/>
              </w:tabs>
              <w:spacing w:line="269" w:lineRule="exact"/>
              <w:contextualSpacing/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</w:pP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Asia/Middle East: Afghanistan, Bangladesh, Cambodia, China, Egypt, Kazakhstan, Kyrgyzstan, </w:t>
            </w:r>
            <w:r w:rsidR="000E2EA5"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Iraq,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Laos, </w:t>
            </w:r>
            <w:r w:rsidR="000E2EA5"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Lebanon, Jordan,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Malaysia, Nepal, Philippines, Tajikistan, Timor </w:t>
            </w:r>
            <w:proofErr w:type="spellStart"/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>Leste</w:t>
            </w:r>
            <w:proofErr w:type="spellEnd"/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, </w:t>
            </w:r>
            <w:r w:rsidR="000E2EA5"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Turkey,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>Vietnam</w:t>
            </w:r>
          </w:p>
        </w:tc>
      </w:tr>
      <w:tr w:rsidR="006538AC" w:rsidRPr="00F7703A" w14:paraId="612359CD" w14:textId="77777777" w:rsidTr="00F7703A">
        <w:tc>
          <w:tcPr>
            <w:tcW w:w="9990" w:type="dxa"/>
          </w:tcPr>
          <w:p w14:paraId="71583CDA" w14:textId="11FB6D1D" w:rsidR="006538AC" w:rsidRPr="00F7703A" w:rsidRDefault="006538AC" w:rsidP="00FB7C9C">
            <w:pPr>
              <w:contextualSpacing/>
              <w:rPr>
                <w:rFonts w:asciiTheme="majorHAnsi" w:eastAsiaTheme="minorEastAsia" w:hAnsiTheme="majorHAnsi" w:cstheme="majorHAnsi"/>
                <w:bCs/>
                <w:szCs w:val="22"/>
                <w:lang w:val="en-US"/>
              </w:rPr>
            </w:pP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Central, Northern and Southern America: Brazil, Canada, Chile, Costa Rica, Panama, USA </w:t>
            </w:r>
          </w:p>
        </w:tc>
      </w:tr>
      <w:tr w:rsidR="006538AC" w:rsidRPr="00F7703A" w14:paraId="36483726" w14:textId="77777777" w:rsidTr="00F7703A">
        <w:tc>
          <w:tcPr>
            <w:tcW w:w="9990" w:type="dxa"/>
          </w:tcPr>
          <w:p w14:paraId="2438E8D0" w14:textId="3A6B0499" w:rsidR="006538AC" w:rsidRPr="00F7703A" w:rsidRDefault="006538AC" w:rsidP="00FB7C9C">
            <w:pPr>
              <w:contextualSpacing/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</w:pP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Europe: </w:t>
            </w:r>
            <w:r w:rsidR="000E2EA5"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Armenia, </w:t>
            </w:r>
            <w:r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 xml:space="preserve">Bosnia, </w:t>
            </w:r>
            <w:r w:rsidR="000E2EA5" w:rsidRPr="00F7703A">
              <w:rPr>
                <w:rFonts w:asciiTheme="majorHAnsi" w:eastAsiaTheme="minorEastAsia" w:hAnsiTheme="majorHAnsi" w:cstheme="majorHAnsi"/>
                <w:spacing w:val="-1"/>
                <w:szCs w:val="22"/>
                <w:lang w:val="en-US"/>
              </w:rPr>
              <w:t>Croatia, Latvia, Lithuania, Russia</w:t>
            </w:r>
          </w:p>
        </w:tc>
      </w:tr>
    </w:tbl>
    <w:p w14:paraId="55EADD90" w14:textId="77777777" w:rsidR="0043740D" w:rsidRPr="00F7703A" w:rsidRDefault="0043740D" w:rsidP="00961FB8">
      <w:pPr>
        <w:spacing w:before="120"/>
        <w:rPr>
          <w:rFonts w:asciiTheme="majorHAnsi" w:hAnsiTheme="majorHAnsi" w:cstheme="majorHAnsi"/>
          <w:b/>
          <w:szCs w:val="22"/>
          <w:lang w:val="en-US"/>
        </w:rPr>
      </w:pPr>
    </w:p>
    <w:p w14:paraId="3EA8C238" w14:textId="112DB336" w:rsidR="00961FB8" w:rsidRPr="00F7703A" w:rsidRDefault="00A422C3" w:rsidP="00961FB8">
      <w:pPr>
        <w:spacing w:before="120" w:after="120"/>
        <w:rPr>
          <w:rFonts w:asciiTheme="majorHAnsi" w:hAnsiTheme="majorHAnsi" w:cstheme="majorHAnsi"/>
          <w:b/>
          <w:szCs w:val="22"/>
          <w:lang w:val="en-GB"/>
        </w:rPr>
      </w:pPr>
      <w:r w:rsidRPr="00F7703A">
        <w:rPr>
          <w:rFonts w:asciiTheme="majorHAnsi" w:hAnsiTheme="majorHAnsi" w:cstheme="majorHAnsi"/>
          <w:b/>
          <w:szCs w:val="22"/>
          <w:lang w:val="en-GB"/>
        </w:rPr>
        <w:t>Employment Record</w:t>
      </w:r>
      <w:r w:rsidR="002526DC" w:rsidRPr="00F7703A">
        <w:rPr>
          <w:rFonts w:asciiTheme="majorHAnsi" w:hAnsiTheme="majorHAnsi" w:cstheme="majorHAnsi"/>
          <w:b/>
          <w:szCs w:val="22"/>
          <w:lang w:val="en-GB"/>
        </w:rPr>
        <w:t xml:space="preserve"> – Professional Experience</w:t>
      </w:r>
      <w:r w:rsidRPr="00F7703A">
        <w:rPr>
          <w:rFonts w:asciiTheme="majorHAnsi" w:hAnsiTheme="majorHAnsi" w:cstheme="majorHAnsi"/>
          <w:b/>
          <w:szCs w:val="22"/>
          <w:lang w:val="en-GB"/>
        </w:rPr>
        <w:t>:</w:t>
      </w:r>
    </w:p>
    <w:p w14:paraId="09AB3D8D" w14:textId="72373DF8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bCs/>
          <w:szCs w:val="22"/>
          <w:lang w:val="en-GB"/>
        </w:rPr>
      </w:pPr>
      <w:r w:rsidRPr="00F7703A">
        <w:rPr>
          <w:rFonts w:asciiTheme="majorHAnsi" w:hAnsiTheme="majorHAnsi" w:cstheme="majorHAnsi"/>
          <w:b/>
          <w:bCs/>
          <w:szCs w:val="22"/>
          <w:lang w:val="en-GB"/>
        </w:rPr>
        <w:t xml:space="preserve">Susan </w:t>
      </w:r>
      <w:proofErr w:type="spellStart"/>
      <w:r w:rsidRPr="00F7703A">
        <w:rPr>
          <w:rFonts w:asciiTheme="majorHAnsi" w:hAnsiTheme="majorHAnsi" w:cstheme="majorHAnsi"/>
          <w:b/>
          <w:bCs/>
          <w:szCs w:val="22"/>
          <w:lang w:val="en-GB"/>
        </w:rPr>
        <w:t>Bazilli</w:t>
      </w:r>
      <w:proofErr w:type="spellEnd"/>
      <w:r w:rsidRPr="00F7703A">
        <w:rPr>
          <w:rFonts w:asciiTheme="majorHAnsi" w:hAnsiTheme="majorHAnsi" w:cstheme="majorHAnsi"/>
          <w:b/>
          <w:bCs/>
          <w:szCs w:val="22"/>
          <w:lang w:val="en-GB"/>
        </w:rPr>
        <w:t xml:space="preserve"> Consulting</w:t>
      </w:r>
      <w:r w:rsidRPr="00F7703A">
        <w:rPr>
          <w:rFonts w:asciiTheme="majorHAnsi" w:hAnsiTheme="majorHAnsi" w:cstheme="majorHAnsi"/>
          <w:bCs/>
          <w:szCs w:val="22"/>
          <w:lang w:val="en-GB"/>
        </w:rPr>
        <w:t xml:space="preserve">. Global consulting on gender, development, environment, climate change, law and human rights. Details in selected assignments, </w:t>
      </w:r>
      <w:r w:rsidR="002526DC" w:rsidRPr="00F7703A">
        <w:rPr>
          <w:rFonts w:asciiTheme="majorHAnsi" w:hAnsiTheme="majorHAnsi" w:cstheme="majorHAnsi"/>
          <w:bCs/>
          <w:szCs w:val="22"/>
          <w:lang w:val="en-GB"/>
        </w:rPr>
        <w:t xml:space="preserve">see </w:t>
      </w:r>
      <w:r w:rsidR="000E2EA5" w:rsidRPr="00F7703A">
        <w:rPr>
          <w:rFonts w:asciiTheme="majorHAnsi" w:hAnsiTheme="majorHAnsi" w:cstheme="majorHAnsi"/>
          <w:bCs/>
          <w:szCs w:val="22"/>
          <w:lang w:val="en-GB"/>
        </w:rPr>
        <w:t xml:space="preserve">Page 3 </w:t>
      </w:r>
      <w:r w:rsidRPr="00F7703A">
        <w:rPr>
          <w:rFonts w:asciiTheme="majorHAnsi" w:hAnsiTheme="majorHAnsi" w:cstheme="majorHAnsi"/>
          <w:bCs/>
          <w:szCs w:val="22"/>
          <w:lang w:val="en-GB"/>
        </w:rPr>
        <w:t>below</w:t>
      </w:r>
      <w:r w:rsidR="000E2EA5" w:rsidRPr="00F7703A">
        <w:rPr>
          <w:rFonts w:asciiTheme="majorHAnsi" w:hAnsiTheme="majorHAnsi" w:cstheme="majorHAnsi"/>
          <w:bCs/>
          <w:szCs w:val="22"/>
          <w:lang w:val="en-GB"/>
        </w:rPr>
        <w:t>.</w:t>
      </w:r>
    </w:p>
    <w:p w14:paraId="6C87FB39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bCs/>
          <w:szCs w:val="22"/>
          <w:lang w:val="en-GB"/>
        </w:rPr>
      </w:pPr>
    </w:p>
    <w:p w14:paraId="77244C3B" w14:textId="37BDAFCB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r w:rsidRPr="00F7703A">
        <w:rPr>
          <w:rFonts w:asciiTheme="majorHAnsi" w:hAnsiTheme="majorHAnsi" w:cstheme="majorHAnsi"/>
          <w:b/>
          <w:bCs/>
          <w:szCs w:val="22"/>
          <w:lang w:val="en-GB"/>
        </w:rPr>
        <w:t>Director International Women’s Rights Project</w:t>
      </w:r>
      <w:r w:rsidRPr="00F7703A">
        <w:rPr>
          <w:rFonts w:asciiTheme="majorHAnsi" w:hAnsiTheme="majorHAnsi" w:cstheme="majorHAnsi"/>
          <w:bCs/>
          <w:szCs w:val="22"/>
          <w:lang w:val="en-GB"/>
        </w:rPr>
        <w:t xml:space="preserve">. </w:t>
      </w:r>
      <w:r w:rsidRPr="00F7703A">
        <w:rPr>
          <w:rFonts w:asciiTheme="majorHAnsi" w:hAnsiTheme="majorHAnsi" w:cstheme="majorHAnsi"/>
          <w:szCs w:val="22"/>
        </w:rPr>
        <w:t xml:space="preserve">IWRP </w:t>
      </w:r>
      <w:proofErr w:type="spellStart"/>
      <w:r w:rsidRPr="00F7703A">
        <w:rPr>
          <w:rFonts w:asciiTheme="majorHAnsi" w:hAnsiTheme="majorHAnsi" w:cstheme="majorHAnsi"/>
          <w:szCs w:val="22"/>
        </w:rPr>
        <w:t>works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 </w:t>
      </w:r>
      <w:proofErr w:type="spellStart"/>
      <w:r w:rsidRPr="00F7703A">
        <w:rPr>
          <w:rFonts w:asciiTheme="majorHAnsi" w:hAnsiTheme="majorHAnsi" w:cstheme="majorHAnsi"/>
          <w:szCs w:val="22"/>
        </w:rPr>
        <w:t>project-by-project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basis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in </w:t>
      </w:r>
      <w:proofErr w:type="spellStart"/>
      <w:r w:rsidRPr="00F7703A">
        <w:rPr>
          <w:rFonts w:asciiTheme="majorHAnsi" w:hAnsiTheme="majorHAnsi" w:cstheme="majorHAnsi"/>
          <w:szCs w:val="22"/>
        </w:rPr>
        <w:t>collaboration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with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local and </w:t>
      </w:r>
      <w:proofErr w:type="spellStart"/>
      <w:r w:rsidRPr="00F7703A">
        <w:rPr>
          <w:rFonts w:asciiTheme="majorHAnsi" w:hAnsiTheme="majorHAnsi" w:cstheme="majorHAnsi"/>
          <w:szCs w:val="22"/>
        </w:rPr>
        <w:t>international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partners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Knowledge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development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organization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women’s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human </w:t>
      </w:r>
      <w:proofErr w:type="spellStart"/>
      <w:r w:rsidRPr="00F7703A">
        <w:rPr>
          <w:rFonts w:asciiTheme="majorHAnsi" w:hAnsiTheme="majorHAnsi" w:cstheme="majorHAnsi"/>
          <w:szCs w:val="22"/>
        </w:rPr>
        <w:t>rights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sharing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resources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expertise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training </w:t>
      </w:r>
      <w:proofErr w:type="spellStart"/>
      <w:r w:rsidRPr="00F7703A">
        <w:rPr>
          <w:rFonts w:asciiTheme="majorHAnsi" w:hAnsiTheme="majorHAnsi" w:cstheme="majorHAnsi"/>
          <w:szCs w:val="22"/>
        </w:rPr>
        <w:t>facility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for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interns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students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research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organization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Revenue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generated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through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grants, </w:t>
      </w:r>
      <w:proofErr w:type="spellStart"/>
      <w:r w:rsidRPr="00F7703A">
        <w:rPr>
          <w:rFonts w:asciiTheme="majorHAnsi" w:hAnsiTheme="majorHAnsi" w:cstheme="majorHAnsi"/>
          <w:szCs w:val="22"/>
        </w:rPr>
        <w:t>consultancy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fees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and </w:t>
      </w:r>
      <w:proofErr w:type="spellStart"/>
      <w:r w:rsidRPr="00F7703A">
        <w:rPr>
          <w:rFonts w:asciiTheme="majorHAnsi" w:hAnsiTheme="majorHAnsi" w:cstheme="majorHAnsi"/>
          <w:szCs w:val="22"/>
        </w:rPr>
        <w:t>government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sources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(IDRC, CIDA, </w:t>
      </w:r>
      <w:proofErr w:type="spellStart"/>
      <w:r w:rsidRPr="00F7703A">
        <w:rPr>
          <w:rFonts w:asciiTheme="majorHAnsi" w:hAnsiTheme="majorHAnsi" w:cstheme="majorHAnsi"/>
          <w:szCs w:val="22"/>
        </w:rPr>
        <w:t>Heritage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Canada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Ford </w:t>
      </w:r>
      <w:proofErr w:type="spellStart"/>
      <w:r w:rsidRPr="00F7703A">
        <w:rPr>
          <w:rFonts w:asciiTheme="majorHAnsi" w:hAnsiTheme="majorHAnsi" w:cstheme="majorHAnsi"/>
          <w:szCs w:val="22"/>
        </w:rPr>
        <w:t>Foundation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Commonwealth </w:t>
      </w:r>
      <w:proofErr w:type="spellStart"/>
      <w:r w:rsidRPr="00F7703A">
        <w:rPr>
          <w:rFonts w:asciiTheme="majorHAnsi" w:hAnsiTheme="majorHAnsi" w:cstheme="majorHAnsi"/>
          <w:szCs w:val="22"/>
        </w:rPr>
        <w:t>Secretariat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gramStart"/>
      <w:r w:rsidRPr="00F7703A">
        <w:rPr>
          <w:rFonts w:asciiTheme="majorHAnsi" w:hAnsiTheme="majorHAnsi" w:cstheme="majorHAnsi"/>
          <w:szCs w:val="22"/>
        </w:rPr>
        <w:t>Status</w:t>
      </w:r>
      <w:proofErr w:type="gram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Women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Canada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etc</w:t>
      </w:r>
      <w:proofErr w:type="spellEnd"/>
      <w:r w:rsidRPr="00F7703A">
        <w:rPr>
          <w:rFonts w:asciiTheme="majorHAnsi" w:hAnsiTheme="majorHAnsi" w:cstheme="majorHAnsi"/>
          <w:szCs w:val="22"/>
        </w:rPr>
        <w:t>). Non-</w:t>
      </w:r>
      <w:proofErr w:type="spellStart"/>
      <w:r w:rsidRPr="00F7703A">
        <w:rPr>
          <w:rFonts w:asciiTheme="majorHAnsi" w:hAnsiTheme="majorHAnsi" w:cstheme="majorHAnsi"/>
          <w:szCs w:val="22"/>
        </w:rPr>
        <w:t>profit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registered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in British Columbia, </w:t>
      </w:r>
      <w:proofErr w:type="spellStart"/>
      <w:r w:rsidRPr="00F7703A">
        <w:rPr>
          <w:rFonts w:asciiTheme="majorHAnsi" w:hAnsiTheme="majorHAnsi" w:cstheme="majorHAnsi"/>
          <w:szCs w:val="22"/>
        </w:rPr>
        <w:t>Canada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South </w:t>
      </w:r>
      <w:proofErr w:type="spellStart"/>
      <w:r w:rsidRPr="00F7703A">
        <w:rPr>
          <w:rFonts w:asciiTheme="majorHAnsi" w:hAnsiTheme="majorHAnsi" w:cstheme="majorHAnsi"/>
          <w:szCs w:val="22"/>
        </w:rPr>
        <w:t>Africa</w:t>
      </w:r>
      <w:proofErr w:type="spellEnd"/>
      <w:r w:rsidRPr="00F7703A">
        <w:rPr>
          <w:rFonts w:asciiTheme="majorHAnsi" w:hAnsiTheme="majorHAnsi" w:cstheme="majorHAnsi"/>
          <w:szCs w:val="22"/>
        </w:rPr>
        <w:t>.</w:t>
      </w:r>
    </w:p>
    <w:p w14:paraId="030DE2C8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</w:p>
    <w:p w14:paraId="076A94E9" w14:textId="46C1B293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bCs/>
          <w:szCs w:val="22"/>
        </w:rPr>
      </w:pPr>
      <w:r w:rsidRPr="00F7703A">
        <w:rPr>
          <w:rFonts w:asciiTheme="majorHAnsi" w:hAnsiTheme="majorHAnsi" w:cstheme="majorHAnsi"/>
          <w:b/>
          <w:szCs w:val="22"/>
        </w:rPr>
        <w:t xml:space="preserve">Project Manager, Good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Practices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and </w:t>
      </w:r>
      <w:proofErr w:type="gramStart"/>
      <w:r w:rsidRPr="00F7703A">
        <w:rPr>
          <w:rFonts w:asciiTheme="majorHAnsi" w:hAnsiTheme="majorHAnsi" w:cstheme="majorHAnsi"/>
          <w:b/>
          <w:szCs w:val="22"/>
        </w:rPr>
        <w:t>Portfolio</w:t>
      </w:r>
      <w:proofErr w:type="gram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Learning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in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Transboundary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Water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Legal and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Institutional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Frameworks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Institute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for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Asian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Research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UBC. </w:t>
      </w:r>
      <w:proofErr w:type="spellStart"/>
      <w:r w:rsidRPr="00F7703A">
        <w:rPr>
          <w:rFonts w:asciiTheme="majorHAnsi" w:hAnsiTheme="majorHAnsi" w:cstheme="majorHAnsi"/>
          <w:szCs w:val="22"/>
        </w:rPr>
        <w:t>F</w:t>
      </w:r>
      <w:r w:rsidRPr="00F7703A">
        <w:rPr>
          <w:rFonts w:asciiTheme="majorHAnsi" w:hAnsiTheme="majorHAnsi" w:cstheme="majorHAnsi"/>
          <w:bCs/>
          <w:szCs w:val="22"/>
        </w:rPr>
        <w:t>unded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by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Global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Environment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Facility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Developed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good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practices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international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survey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transboundary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waters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, training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manuals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and global regional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consultation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Cs/>
          <w:szCs w:val="22"/>
        </w:rPr>
        <w:t>processes</w:t>
      </w:r>
      <w:proofErr w:type="spellEnd"/>
      <w:r w:rsidRPr="00F7703A">
        <w:rPr>
          <w:rFonts w:asciiTheme="majorHAnsi" w:hAnsiTheme="majorHAnsi" w:cstheme="majorHAnsi"/>
          <w:bCs/>
          <w:szCs w:val="22"/>
        </w:rPr>
        <w:t>. Budget $1.9million. 2008 – 2011.</w:t>
      </w:r>
    </w:p>
    <w:p w14:paraId="0FEC99C8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bCs/>
          <w:szCs w:val="22"/>
        </w:rPr>
      </w:pPr>
    </w:p>
    <w:p w14:paraId="56BC0FBD" w14:textId="02D4591D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r w:rsidRPr="00F7703A">
        <w:rPr>
          <w:rFonts w:asciiTheme="majorHAnsi" w:hAnsiTheme="majorHAnsi" w:cstheme="majorHAnsi"/>
          <w:b/>
          <w:szCs w:val="22"/>
        </w:rPr>
        <w:lastRenderedPageBreak/>
        <w:t xml:space="preserve">Project Manager,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Women’s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Legal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Rights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Initiative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>,</w:t>
      </w:r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Southern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Africa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Madagascar.</w:t>
      </w:r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Directed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Southern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African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activities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as Legal </w:t>
      </w:r>
      <w:proofErr w:type="spellStart"/>
      <w:r w:rsidRPr="00F7703A">
        <w:rPr>
          <w:rFonts w:asciiTheme="majorHAnsi" w:hAnsiTheme="majorHAnsi" w:cstheme="majorHAnsi"/>
          <w:szCs w:val="22"/>
        </w:rPr>
        <w:t>Specialist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Washington DC. </w:t>
      </w:r>
      <w:proofErr w:type="spellStart"/>
      <w:r w:rsidRPr="00F7703A">
        <w:rPr>
          <w:rFonts w:asciiTheme="majorHAnsi" w:hAnsiTheme="majorHAnsi" w:cstheme="majorHAnsi"/>
          <w:szCs w:val="22"/>
        </w:rPr>
        <w:t>Managed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law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reform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with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regional </w:t>
      </w:r>
      <w:proofErr w:type="spellStart"/>
      <w:r w:rsidRPr="00F7703A">
        <w:rPr>
          <w:rFonts w:asciiTheme="majorHAnsi" w:hAnsiTheme="majorHAnsi" w:cstheme="majorHAnsi"/>
          <w:szCs w:val="22"/>
        </w:rPr>
        <w:t>offices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South </w:t>
      </w:r>
      <w:proofErr w:type="spellStart"/>
      <w:r w:rsidRPr="00F7703A">
        <w:rPr>
          <w:rFonts w:asciiTheme="majorHAnsi" w:hAnsiTheme="majorHAnsi" w:cstheme="majorHAnsi"/>
          <w:szCs w:val="22"/>
        </w:rPr>
        <w:t>Africa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Botswana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Swaziland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Lesotho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Namibia and Mozambique. </w:t>
      </w:r>
      <w:proofErr w:type="spellStart"/>
      <w:r w:rsidRPr="00F7703A">
        <w:rPr>
          <w:rFonts w:asciiTheme="majorHAnsi" w:hAnsiTheme="majorHAnsi" w:cstheme="majorHAnsi"/>
          <w:szCs w:val="22"/>
        </w:rPr>
        <w:t>Initiated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first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national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gender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based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violence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in Madagascar. </w:t>
      </w:r>
      <w:proofErr w:type="spellStart"/>
      <w:r w:rsidRPr="00F7703A">
        <w:rPr>
          <w:rFonts w:asciiTheme="majorHAnsi" w:hAnsiTheme="majorHAnsi" w:cstheme="majorHAnsi"/>
          <w:szCs w:val="22"/>
        </w:rPr>
        <w:t>Implementation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design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supervision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(staff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4), </w:t>
      </w:r>
      <w:proofErr w:type="spellStart"/>
      <w:r w:rsidRPr="00F7703A">
        <w:rPr>
          <w:rFonts w:asciiTheme="majorHAnsi" w:hAnsiTheme="majorHAnsi" w:cstheme="majorHAnsi"/>
          <w:szCs w:val="22"/>
        </w:rPr>
        <w:t>management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reporting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Managed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field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staff.  Budget total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$USD 1 </w:t>
      </w:r>
      <w:proofErr w:type="spellStart"/>
      <w:r w:rsidRPr="00F7703A">
        <w:rPr>
          <w:rFonts w:asciiTheme="majorHAnsi" w:hAnsiTheme="majorHAnsi" w:cstheme="majorHAnsi"/>
          <w:szCs w:val="22"/>
        </w:rPr>
        <w:t>million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overall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WLR </w:t>
      </w:r>
      <w:proofErr w:type="spellStart"/>
      <w:r w:rsidRPr="00F7703A">
        <w:rPr>
          <w:rFonts w:asciiTheme="majorHAnsi" w:hAnsiTheme="majorHAnsi" w:cstheme="majorHAnsi"/>
          <w:szCs w:val="22"/>
        </w:rPr>
        <w:t>budget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$10.7million. </w:t>
      </w:r>
      <w:proofErr w:type="spellStart"/>
      <w:r w:rsidRPr="00F7703A">
        <w:rPr>
          <w:rFonts w:asciiTheme="majorHAnsi" w:hAnsiTheme="majorHAnsi" w:cstheme="majorHAnsi"/>
          <w:szCs w:val="22"/>
        </w:rPr>
        <w:t>Funded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by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USAID. 2003-2005.</w:t>
      </w:r>
    </w:p>
    <w:p w14:paraId="276B5DA4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</w:p>
    <w:p w14:paraId="1F0D7A4D" w14:textId="5CF42795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r w:rsidRPr="00F7703A">
        <w:rPr>
          <w:rFonts w:asciiTheme="majorHAnsi" w:hAnsiTheme="majorHAnsi" w:cstheme="majorHAnsi"/>
          <w:b/>
          <w:szCs w:val="22"/>
        </w:rPr>
        <w:t xml:space="preserve">Legal Issues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Specialist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, American Bar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Association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Central </w:t>
      </w:r>
      <w:proofErr w:type="spellStart"/>
      <w:r w:rsidRPr="00F7703A">
        <w:rPr>
          <w:rFonts w:asciiTheme="majorHAnsi" w:hAnsiTheme="majorHAnsi" w:cstheme="majorHAnsi"/>
          <w:szCs w:val="22"/>
        </w:rPr>
        <w:t>European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Eurasian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Law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Initiative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Rule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Law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Moscow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Russia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Focus </w:t>
      </w:r>
      <w:proofErr w:type="spellStart"/>
      <w:r w:rsidRPr="00F7703A">
        <w:rPr>
          <w:rFonts w:asciiTheme="majorHAnsi" w:hAnsiTheme="majorHAnsi" w:cstheme="majorHAnsi"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drafting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legislation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regional </w:t>
      </w:r>
      <w:proofErr w:type="spellStart"/>
      <w:r w:rsidRPr="00F7703A">
        <w:rPr>
          <w:rFonts w:asciiTheme="majorHAnsi" w:hAnsiTheme="majorHAnsi" w:cstheme="majorHAnsi"/>
          <w:szCs w:val="22"/>
        </w:rPr>
        <w:t>conference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development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facilitation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consultation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between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non-</w:t>
      </w:r>
      <w:proofErr w:type="spellStart"/>
      <w:r w:rsidRPr="00F7703A">
        <w:rPr>
          <w:rFonts w:asciiTheme="majorHAnsi" w:hAnsiTheme="majorHAnsi" w:cstheme="majorHAnsi"/>
          <w:szCs w:val="22"/>
        </w:rPr>
        <w:t>government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organizations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Russian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government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international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donors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Funded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by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USAID. 2002</w:t>
      </w:r>
    </w:p>
    <w:p w14:paraId="1D9F6928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</w:p>
    <w:p w14:paraId="11817386" w14:textId="0791D7D6" w:rsidR="00A422C3" w:rsidRPr="00F7703A" w:rsidRDefault="00A422C3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proofErr w:type="spellStart"/>
      <w:r w:rsidRPr="00F7703A">
        <w:rPr>
          <w:rFonts w:asciiTheme="majorHAnsi" w:hAnsiTheme="majorHAnsi" w:cstheme="majorHAnsi"/>
          <w:b/>
          <w:szCs w:val="22"/>
        </w:rPr>
        <w:t>Executive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gramStart"/>
      <w:r w:rsidRPr="00F7703A">
        <w:rPr>
          <w:rFonts w:asciiTheme="majorHAnsi" w:hAnsiTheme="majorHAnsi" w:cstheme="majorHAnsi"/>
          <w:b/>
          <w:szCs w:val="22"/>
        </w:rPr>
        <w:t>Director</w:t>
      </w:r>
      <w:proofErr w:type="gramEnd"/>
      <w:r w:rsidRPr="00F7703A">
        <w:rPr>
          <w:rFonts w:asciiTheme="majorHAnsi" w:hAnsiTheme="majorHAnsi" w:cstheme="majorHAnsi"/>
          <w:b/>
          <w:szCs w:val="22"/>
        </w:rPr>
        <w:t xml:space="preserve">, California Alliance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Against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Domestic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Violence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(CAADV). </w:t>
      </w:r>
      <w:proofErr w:type="spellStart"/>
      <w:r w:rsidRPr="00F7703A">
        <w:rPr>
          <w:rFonts w:asciiTheme="majorHAnsi" w:hAnsiTheme="majorHAnsi" w:cstheme="majorHAnsi"/>
          <w:szCs w:val="22"/>
        </w:rPr>
        <w:t>Start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up </w:t>
      </w:r>
      <w:proofErr w:type="spellStart"/>
      <w:r w:rsidRPr="00F7703A">
        <w:rPr>
          <w:rFonts w:asciiTheme="majorHAnsi" w:hAnsiTheme="majorHAnsi" w:cstheme="majorHAnsi"/>
          <w:szCs w:val="22"/>
        </w:rPr>
        <w:t>consultant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- </w:t>
      </w:r>
      <w:proofErr w:type="spellStart"/>
      <w:r w:rsidRPr="00F7703A">
        <w:rPr>
          <w:rFonts w:asciiTheme="majorHAnsi" w:hAnsiTheme="majorHAnsi" w:cstheme="majorHAnsi"/>
          <w:szCs w:val="22"/>
        </w:rPr>
        <w:t>located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office; </w:t>
      </w:r>
      <w:proofErr w:type="spellStart"/>
      <w:r w:rsidRPr="00F7703A">
        <w:rPr>
          <w:rFonts w:asciiTheme="majorHAnsi" w:hAnsiTheme="majorHAnsi" w:cstheme="majorHAnsi"/>
          <w:szCs w:val="22"/>
        </w:rPr>
        <w:t>recruited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hired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staff; </w:t>
      </w:r>
      <w:proofErr w:type="spellStart"/>
      <w:r w:rsidRPr="00F7703A">
        <w:rPr>
          <w:rFonts w:asciiTheme="majorHAnsi" w:hAnsiTheme="majorHAnsi" w:cstheme="majorHAnsi"/>
          <w:szCs w:val="22"/>
        </w:rPr>
        <w:t>developed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personnel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fiscal </w:t>
      </w:r>
      <w:proofErr w:type="spellStart"/>
      <w:r w:rsidRPr="00F7703A">
        <w:rPr>
          <w:rFonts w:asciiTheme="majorHAnsi" w:hAnsiTheme="majorHAnsi" w:cstheme="majorHAnsi"/>
          <w:szCs w:val="22"/>
        </w:rPr>
        <w:t>policies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created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web </w:t>
      </w:r>
      <w:proofErr w:type="spellStart"/>
      <w:r w:rsidRPr="00F7703A">
        <w:rPr>
          <w:rFonts w:asciiTheme="majorHAnsi" w:hAnsiTheme="majorHAnsi" w:cstheme="majorHAnsi"/>
          <w:szCs w:val="22"/>
        </w:rPr>
        <w:t>site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newsletter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communications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developed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Board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Committees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volunteer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committees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set up </w:t>
      </w:r>
      <w:proofErr w:type="spellStart"/>
      <w:r w:rsidRPr="00F7703A">
        <w:rPr>
          <w:rFonts w:asciiTheme="majorHAnsi" w:hAnsiTheme="majorHAnsi" w:cstheme="majorHAnsi"/>
          <w:szCs w:val="22"/>
        </w:rPr>
        <w:t>fundraising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systems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grant </w:t>
      </w:r>
      <w:proofErr w:type="spellStart"/>
      <w:r w:rsidRPr="00F7703A">
        <w:rPr>
          <w:rFonts w:asciiTheme="majorHAnsi" w:hAnsiTheme="majorHAnsi" w:cstheme="majorHAnsi"/>
          <w:szCs w:val="22"/>
        </w:rPr>
        <w:t>applications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program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development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strategic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planning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; </w:t>
      </w:r>
      <w:proofErr w:type="spellStart"/>
      <w:r w:rsidRPr="00F7703A">
        <w:rPr>
          <w:rFonts w:asciiTheme="majorHAnsi" w:hAnsiTheme="majorHAnsi" w:cstheme="majorHAnsi"/>
          <w:szCs w:val="22"/>
        </w:rPr>
        <w:t>organizational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development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Within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12 </w:t>
      </w:r>
      <w:proofErr w:type="spellStart"/>
      <w:r w:rsidRPr="00F7703A">
        <w:rPr>
          <w:rFonts w:asciiTheme="majorHAnsi" w:hAnsiTheme="majorHAnsi" w:cstheme="majorHAnsi"/>
          <w:szCs w:val="22"/>
        </w:rPr>
        <w:t>months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staff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5 and </w:t>
      </w:r>
      <w:proofErr w:type="spellStart"/>
      <w:r w:rsidRPr="00F7703A">
        <w:rPr>
          <w:rFonts w:asciiTheme="majorHAnsi" w:hAnsiTheme="majorHAnsi" w:cstheme="majorHAnsi"/>
          <w:szCs w:val="22"/>
        </w:rPr>
        <w:t>budget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$1USD </w:t>
      </w:r>
      <w:proofErr w:type="spellStart"/>
      <w:r w:rsidRPr="00F7703A">
        <w:rPr>
          <w:rFonts w:asciiTheme="majorHAnsi" w:hAnsiTheme="majorHAnsi" w:cstheme="majorHAnsi"/>
          <w:szCs w:val="22"/>
        </w:rPr>
        <w:t>million</w:t>
      </w:r>
      <w:proofErr w:type="spellEnd"/>
      <w:r w:rsidRPr="00F7703A">
        <w:rPr>
          <w:rFonts w:asciiTheme="majorHAnsi" w:hAnsiTheme="majorHAnsi" w:cstheme="majorHAnsi"/>
          <w:szCs w:val="22"/>
        </w:rPr>
        <w:t>. 1997-1998.</w:t>
      </w:r>
    </w:p>
    <w:p w14:paraId="0111D7FB" w14:textId="77777777" w:rsidR="00095F82" w:rsidRPr="00F7703A" w:rsidRDefault="00095F82" w:rsidP="00A422C3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</w:p>
    <w:p w14:paraId="6E974AEB" w14:textId="77777777" w:rsidR="00F7703A" w:rsidRDefault="00A422C3" w:rsidP="00F7703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r w:rsidRPr="00F7703A">
        <w:rPr>
          <w:rFonts w:asciiTheme="majorHAnsi" w:hAnsiTheme="majorHAnsi" w:cstheme="majorHAnsi"/>
          <w:b/>
          <w:szCs w:val="22"/>
        </w:rPr>
        <w:t xml:space="preserve">Legal </w:t>
      </w:r>
      <w:proofErr w:type="gramStart"/>
      <w:r w:rsidRPr="00F7703A">
        <w:rPr>
          <w:rFonts w:asciiTheme="majorHAnsi" w:hAnsiTheme="majorHAnsi" w:cstheme="majorHAnsi"/>
          <w:b/>
          <w:szCs w:val="22"/>
        </w:rPr>
        <w:t>Director</w:t>
      </w:r>
      <w:proofErr w:type="gramEnd"/>
      <w:r w:rsidRPr="00F7703A">
        <w:rPr>
          <w:rFonts w:asciiTheme="majorHAnsi" w:hAnsiTheme="majorHAnsi" w:cstheme="majorHAnsi"/>
          <w:b/>
          <w:szCs w:val="22"/>
        </w:rPr>
        <w:t xml:space="preserve">, Metro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Action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Committee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Violence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Against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Women</w:t>
      </w:r>
      <w:proofErr w:type="spellEnd"/>
      <w:r w:rsidRPr="00F7703A">
        <w:rPr>
          <w:rFonts w:asciiTheme="majorHAnsi" w:hAnsiTheme="majorHAnsi" w:cstheme="majorHAnsi"/>
          <w:b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b/>
          <w:szCs w:val="22"/>
        </w:rPr>
        <w:t>Children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(METRAC), </w:t>
      </w:r>
      <w:r w:rsidRPr="00F7703A">
        <w:rPr>
          <w:rFonts w:asciiTheme="majorHAnsi" w:hAnsiTheme="majorHAnsi" w:cstheme="majorHAnsi"/>
          <w:szCs w:val="22"/>
          <w:lang w:val="es-MX"/>
        </w:rPr>
        <w:t xml:space="preserve">Toronto, </w:t>
      </w:r>
      <w:proofErr w:type="spellStart"/>
      <w:r w:rsidRPr="00F7703A">
        <w:rPr>
          <w:rFonts w:asciiTheme="majorHAnsi" w:hAnsiTheme="majorHAnsi" w:cstheme="majorHAnsi"/>
          <w:szCs w:val="22"/>
          <w:lang w:val="es-MX"/>
        </w:rPr>
        <w:t>Canada</w:t>
      </w:r>
      <w:proofErr w:type="spellEnd"/>
      <w:r w:rsidRPr="00F7703A">
        <w:rPr>
          <w:rFonts w:asciiTheme="majorHAnsi" w:hAnsiTheme="majorHAnsi" w:cstheme="majorHAnsi"/>
          <w:szCs w:val="22"/>
          <w:lang w:val="es-MX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Responsible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for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national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advocacy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campaigns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legislative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drafting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F7703A">
        <w:rPr>
          <w:rFonts w:asciiTheme="majorHAnsi" w:hAnsiTheme="majorHAnsi" w:cstheme="majorHAnsi"/>
          <w:szCs w:val="22"/>
        </w:rPr>
        <w:t>public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education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staff and </w:t>
      </w:r>
      <w:proofErr w:type="spellStart"/>
      <w:r w:rsidRPr="00F7703A">
        <w:rPr>
          <w:rFonts w:asciiTheme="majorHAnsi" w:hAnsiTheme="majorHAnsi" w:cstheme="majorHAnsi"/>
          <w:szCs w:val="22"/>
        </w:rPr>
        <w:t>volunteer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training </w:t>
      </w:r>
      <w:proofErr w:type="spellStart"/>
      <w:r w:rsidRPr="00F7703A">
        <w:rPr>
          <w:rFonts w:asciiTheme="majorHAnsi" w:hAnsiTheme="majorHAnsi" w:cstheme="majorHAnsi"/>
          <w:szCs w:val="22"/>
        </w:rPr>
        <w:t>on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all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issues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pertaining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to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women's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legal </w:t>
      </w:r>
      <w:proofErr w:type="spellStart"/>
      <w:r w:rsidRPr="00F7703A">
        <w:rPr>
          <w:rFonts w:asciiTheme="majorHAnsi" w:hAnsiTheme="majorHAnsi" w:cstheme="majorHAnsi"/>
          <w:szCs w:val="22"/>
        </w:rPr>
        <w:t>rights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violence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against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women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  <w:proofErr w:type="spellStart"/>
      <w:r w:rsidRPr="00F7703A">
        <w:rPr>
          <w:rFonts w:asciiTheme="majorHAnsi" w:hAnsiTheme="majorHAnsi" w:cstheme="majorHAnsi"/>
          <w:szCs w:val="22"/>
        </w:rPr>
        <w:t>Supervised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staff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5, </w:t>
      </w:r>
      <w:proofErr w:type="spellStart"/>
      <w:r w:rsidRPr="00F7703A">
        <w:rPr>
          <w:rFonts w:asciiTheme="majorHAnsi" w:hAnsiTheme="majorHAnsi" w:cstheme="majorHAnsi"/>
          <w:szCs w:val="22"/>
        </w:rPr>
        <w:t>member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Management </w:t>
      </w:r>
      <w:proofErr w:type="spellStart"/>
      <w:r w:rsidRPr="00F7703A">
        <w:rPr>
          <w:rFonts w:asciiTheme="majorHAnsi" w:hAnsiTheme="majorHAnsi" w:cstheme="majorHAnsi"/>
          <w:szCs w:val="22"/>
        </w:rPr>
        <w:t>Committee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and </w:t>
      </w:r>
      <w:proofErr w:type="spellStart"/>
      <w:r w:rsidRPr="00F7703A">
        <w:rPr>
          <w:rFonts w:asciiTheme="majorHAnsi" w:hAnsiTheme="majorHAnsi" w:cstheme="majorHAnsi"/>
          <w:szCs w:val="22"/>
        </w:rPr>
        <w:t>Personnel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Committee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Board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of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F7703A">
        <w:rPr>
          <w:rFonts w:asciiTheme="majorHAnsi" w:hAnsiTheme="majorHAnsi" w:cstheme="majorHAnsi"/>
          <w:szCs w:val="22"/>
        </w:rPr>
        <w:t>Directors</w:t>
      </w:r>
      <w:proofErr w:type="spellEnd"/>
      <w:r w:rsidRPr="00F7703A">
        <w:rPr>
          <w:rFonts w:asciiTheme="majorHAnsi" w:hAnsiTheme="majorHAnsi" w:cstheme="majorHAnsi"/>
          <w:szCs w:val="22"/>
        </w:rPr>
        <w:t xml:space="preserve">. </w:t>
      </w:r>
    </w:p>
    <w:p w14:paraId="5B9303BE" w14:textId="77777777" w:rsidR="00F7703A" w:rsidRDefault="00F7703A" w:rsidP="00F7703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b/>
          <w:szCs w:val="22"/>
          <w:lang w:val="en-US"/>
        </w:rPr>
      </w:pPr>
    </w:p>
    <w:p w14:paraId="5F8714FE" w14:textId="0355CEA4" w:rsidR="00856176" w:rsidRPr="00F7703A" w:rsidRDefault="002526DC" w:rsidP="00F7703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  <w:szCs w:val="22"/>
        </w:rPr>
      </w:pPr>
      <w:r w:rsidRPr="00F7703A">
        <w:rPr>
          <w:rFonts w:asciiTheme="majorHAnsi" w:hAnsiTheme="majorHAnsi" w:cstheme="majorHAnsi"/>
          <w:b/>
          <w:szCs w:val="22"/>
          <w:lang w:val="en-US"/>
        </w:rPr>
        <w:t>Consultancy E</w:t>
      </w:r>
      <w:r w:rsidR="00856176" w:rsidRPr="00F7703A">
        <w:rPr>
          <w:rFonts w:asciiTheme="majorHAnsi" w:hAnsiTheme="majorHAnsi" w:cstheme="majorHAnsi"/>
          <w:b/>
          <w:szCs w:val="22"/>
          <w:lang w:val="en-US"/>
        </w:rPr>
        <w:t>xperience</w:t>
      </w:r>
      <w:r w:rsidR="0033444C" w:rsidRPr="00F7703A">
        <w:rPr>
          <w:rFonts w:asciiTheme="majorHAnsi" w:hAnsiTheme="majorHAnsi" w:cstheme="majorHAnsi"/>
          <w:b/>
          <w:szCs w:val="22"/>
          <w:lang w:val="en-US"/>
        </w:rPr>
        <w:t xml:space="preserve"> </w:t>
      </w:r>
    </w:p>
    <w:tbl>
      <w:tblPr>
        <w:tblW w:w="95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7"/>
        <w:gridCol w:w="1440"/>
        <w:gridCol w:w="3330"/>
        <w:gridCol w:w="3600"/>
      </w:tblGrid>
      <w:tr w:rsidR="00274D1F" w:rsidRPr="00F7703A" w14:paraId="10D79C24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612FA0C8" w14:textId="6E240CBE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March 2019</w:t>
            </w:r>
          </w:p>
        </w:tc>
        <w:tc>
          <w:tcPr>
            <w:tcW w:w="1440" w:type="dxa"/>
          </w:tcPr>
          <w:p w14:paraId="7B37FCE8" w14:textId="1678F4CD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South Africa</w:t>
            </w:r>
          </w:p>
        </w:tc>
        <w:tc>
          <w:tcPr>
            <w:tcW w:w="3330" w:type="dxa"/>
          </w:tcPr>
          <w:p w14:paraId="1ABBDF52" w14:textId="77777777" w:rsidR="00274D1F" w:rsidRDefault="00274D1F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  <w:lang w:bidi="ar-AE"/>
              </w:rPr>
              <w:t>Gcinamasiko</w:t>
            </w:r>
            <w:proofErr w:type="spellEnd"/>
            <w:r>
              <w:rPr>
                <w:rFonts w:asciiTheme="majorHAnsi" w:hAnsiTheme="majorHAnsi" w:cstheme="majorHAnsi"/>
                <w:szCs w:val="22"/>
                <w:lang w:bidi="ar-AE"/>
              </w:rPr>
              <w:t xml:space="preserve"> Heritage and Rural Women’s Movement, Durban</w:t>
            </w:r>
          </w:p>
          <w:p w14:paraId="2DEE51D5" w14:textId="3C325E8C" w:rsidR="008654DC" w:rsidRPr="00F7703A" w:rsidRDefault="008654DC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  <w:lang w:bidi="ar-AE"/>
              </w:rPr>
              <w:t>Gcina</w:t>
            </w:r>
            <w:proofErr w:type="spellEnd"/>
            <w:r>
              <w:rPr>
                <w:rFonts w:asciiTheme="majorHAnsi" w:hAnsiTheme="majorHAnsi" w:cstheme="majorHAnsi"/>
                <w:szCs w:val="22"/>
                <w:lang w:bidi="ar-A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2"/>
                <w:lang w:bidi="ar-AE"/>
              </w:rPr>
              <w:t>Mhlophe</w:t>
            </w:r>
            <w:proofErr w:type="spellEnd"/>
          </w:p>
        </w:tc>
        <w:tc>
          <w:tcPr>
            <w:tcW w:w="3600" w:type="dxa"/>
          </w:tcPr>
          <w:p w14:paraId="2AC63478" w14:textId="64562830" w:rsidR="00274D1F" w:rsidRPr="00274D1F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Conducted </w:t>
            </w:r>
            <w:r w:rsidRPr="00274D1F">
              <w:rPr>
                <w:rFonts w:asciiTheme="majorHAnsi" w:hAnsiTheme="majorHAnsi" w:cstheme="majorHAnsi"/>
                <w:b/>
                <w:bCs/>
                <w:szCs w:val="22"/>
              </w:rPr>
              <w:t xml:space="preserve">evaluation </w:t>
            </w:r>
            <w:r>
              <w:rPr>
                <w:rFonts w:asciiTheme="majorHAnsi" w:hAnsiTheme="majorHAnsi" w:cstheme="majorHAnsi"/>
                <w:szCs w:val="22"/>
              </w:rPr>
              <w:t>on grassroots women’s NGOs</w:t>
            </w:r>
            <w:r w:rsidRPr="00274D1F"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  <w:tr w:rsidR="00274D1F" w:rsidRPr="00F7703A" w14:paraId="51B52197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A286D1A" w14:textId="342D5E0F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February 2019</w:t>
            </w:r>
          </w:p>
        </w:tc>
        <w:tc>
          <w:tcPr>
            <w:tcW w:w="1440" w:type="dxa"/>
          </w:tcPr>
          <w:p w14:paraId="7BEE6E03" w14:textId="31C2246E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Nunavut</w:t>
            </w:r>
          </w:p>
        </w:tc>
        <w:tc>
          <w:tcPr>
            <w:tcW w:w="3330" w:type="dxa"/>
          </w:tcPr>
          <w:p w14:paraId="3659EB41" w14:textId="77777777" w:rsidR="00274D1F" w:rsidRDefault="00274D1F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>
              <w:rPr>
                <w:rFonts w:asciiTheme="majorHAnsi" w:hAnsiTheme="majorHAnsi" w:cstheme="majorHAnsi"/>
                <w:szCs w:val="22"/>
                <w:lang w:bidi="ar-AE"/>
              </w:rPr>
              <w:t>Department of Community Justice</w:t>
            </w:r>
          </w:p>
          <w:p w14:paraId="04FF54C4" w14:textId="3FA51B38" w:rsidR="00274D1F" w:rsidRPr="00F7703A" w:rsidRDefault="00274D1F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>
              <w:rPr>
                <w:rFonts w:asciiTheme="majorHAnsi" w:hAnsiTheme="majorHAnsi" w:cstheme="majorHAnsi"/>
                <w:szCs w:val="22"/>
                <w:lang w:bidi="ar-AE"/>
              </w:rPr>
              <w:t>Matthew Par</w:t>
            </w:r>
            <w:r w:rsidR="008654DC">
              <w:rPr>
                <w:rFonts w:asciiTheme="majorHAnsi" w:hAnsiTheme="majorHAnsi" w:cstheme="majorHAnsi"/>
                <w:szCs w:val="22"/>
                <w:lang w:bidi="ar-AE"/>
              </w:rPr>
              <w:t>ent</w:t>
            </w:r>
          </w:p>
        </w:tc>
        <w:tc>
          <w:tcPr>
            <w:tcW w:w="3600" w:type="dxa"/>
          </w:tcPr>
          <w:p w14:paraId="5263976D" w14:textId="6D42FBB4" w:rsidR="00274D1F" w:rsidRPr="00274D1F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274D1F">
              <w:rPr>
                <w:rFonts w:asciiTheme="majorHAnsi" w:hAnsiTheme="majorHAnsi" w:cstheme="majorHAnsi"/>
                <w:szCs w:val="22"/>
              </w:rPr>
              <w:t xml:space="preserve">Conducted </w:t>
            </w:r>
            <w:r w:rsidRPr="00274D1F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 w:rsidRPr="00274D1F">
              <w:rPr>
                <w:rFonts w:asciiTheme="majorHAnsi" w:hAnsiTheme="majorHAnsi" w:cstheme="majorHAnsi"/>
                <w:szCs w:val="22"/>
              </w:rPr>
              <w:t xml:space="preserve"> and assessment of all Nunavut programs on </w:t>
            </w:r>
            <w:proofErr w:type="gramStart"/>
            <w:r w:rsidRPr="00274D1F">
              <w:rPr>
                <w:rFonts w:asciiTheme="majorHAnsi" w:hAnsiTheme="majorHAnsi" w:cstheme="majorHAnsi"/>
                <w:szCs w:val="22"/>
              </w:rPr>
              <w:t>gender based</w:t>
            </w:r>
            <w:proofErr w:type="gramEnd"/>
            <w:r w:rsidRPr="00274D1F">
              <w:rPr>
                <w:rFonts w:asciiTheme="majorHAnsi" w:hAnsiTheme="majorHAnsi" w:cstheme="majorHAnsi"/>
                <w:szCs w:val="22"/>
              </w:rPr>
              <w:t xml:space="preserve"> violence.</w:t>
            </w:r>
          </w:p>
        </w:tc>
      </w:tr>
      <w:tr w:rsidR="00274D1F" w:rsidRPr="00F7703A" w14:paraId="60FCF8B4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0FFA6C47" w14:textId="48852614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Sept 2018</w:t>
            </w:r>
          </w:p>
        </w:tc>
        <w:tc>
          <w:tcPr>
            <w:tcW w:w="1440" w:type="dxa"/>
          </w:tcPr>
          <w:p w14:paraId="15189AEA" w14:textId="466EF57A" w:rsidR="00274D1F" w:rsidRPr="00F7703A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China</w:t>
            </w:r>
          </w:p>
        </w:tc>
        <w:tc>
          <w:tcPr>
            <w:tcW w:w="3330" w:type="dxa"/>
          </w:tcPr>
          <w:p w14:paraId="113492B1" w14:textId="77777777" w:rsidR="00274D1F" w:rsidRDefault="00274D1F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>
              <w:rPr>
                <w:rFonts w:asciiTheme="majorHAnsi" w:hAnsiTheme="majorHAnsi" w:cstheme="majorHAnsi"/>
                <w:szCs w:val="22"/>
                <w:lang w:bidi="ar-AE"/>
              </w:rPr>
              <w:t>Global Affairs Canada</w:t>
            </w:r>
          </w:p>
          <w:p w14:paraId="6BFBC28B" w14:textId="02071639" w:rsidR="008654DC" w:rsidRPr="00F7703A" w:rsidRDefault="008654DC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>
              <w:rPr>
                <w:rFonts w:asciiTheme="majorHAnsi" w:hAnsiTheme="majorHAnsi" w:cstheme="majorHAnsi"/>
                <w:szCs w:val="22"/>
                <w:lang w:bidi="ar-AE"/>
              </w:rPr>
              <w:t xml:space="preserve">Bernard </w:t>
            </w:r>
          </w:p>
        </w:tc>
        <w:tc>
          <w:tcPr>
            <w:tcW w:w="3600" w:type="dxa"/>
          </w:tcPr>
          <w:p w14:paraId="34634FE6" w14:textId="4F43ABDD" w:rsidR="00274D1F" w:rsidRPr="00274D1F" w:rsidRDefault="00274D1F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Prepared and delivered training on GBV for GAC partners in Hong Kong and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Guanzhou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  <w:tr w:rsidR="00F7703A" w:rsidRPr="00F7703A" w14:paraId="4B4B0B41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6FEB6C68" w14:textId="2F71AD22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July – Sept 2018</w:t>
            </w:r>
          </w:p>
        </w:tc>
        <w:tc>
          <w:tcPr>
            <w:tcW w:w="1440" w:type="dxa"/>
          </w:tcPr>
          <w:p w14:paraId="35AAB450" w14:textId="130CD7B8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Central Asia</w:t>
            </w:r>
            <w:r w:rsidR="00274D1F">
              <w:rPr>
                <w:rFonts w:asciiTheme="majorHAnsi" w:hAnsiTheme="majorHAnsi" w:cstheme="majorHAnsi"/>
                <w:szCs w:val="22"/>
              </w:rPr>
              <w:t>n countries</w:t>
            </w:r>
          </w:p>
        </w:tc>
        <w:tc>
          <w:tcPr>
            <w:tcW w:w="3330" w:type="dxa"/>
          </w:tcPr>
          <w:p w14:paraId="5AA932DB" w14:textId="3CE01048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Central Asian Regional Environment Centre</w:t>
            </w:r>
            <w:r w:rsidR="00274D1F">
              <w:rPr>
                <w:rFonts w:asciiTheme="majorHAnsi" w:hAnsiTheme="majorHAnsi" w:cstheme="majorHAnsi"/>
                <w:szCs w:val="22"/>
                <w:lang w:bidi="ar-AE"/>
              </w:rPr>
              <w:t xml:space="preserve"> (CAREC)</w:t>
            </w: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 xml:space="preserve">, Kazakhstan.  Anna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Inozemtseva</w:t>
            </w:r>
            <w:proofErr w:type="spellEnd"/>
          </w:p>
          <w:p w14:paraId="70D43581" w14:textId="169DA56E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ainozemtseva@carececo.org</w:t>
            </w:r>
          </w:p>
        </w:tc>
        <w:tc>
          <w:tcPr>
            <w:tcW w:w="3600" w:type="dxa"/>
          </w:tcPr>
          <w:p w14:paraId="0D7E8F45" w14:textId="47BD4BFC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274D1F">
              <w:rPr>
                <w:rFonts w:asciiTheme="majorHAnsi" w:hAnsiTheme="majorHAnsi" w:cstheme="majorHAnsi"/>
                <w:b/>
                <w:bCs/>
                <w:szCs w:val="22"/>
              </w:rPr>
              <w:t xml:space="preserve">Evaluation </w:t>
            </w:r>
            <w:r w:rsidRPr="00F7703A">
              <w:rPr>
                <w:rFonts w:asciiTheme="majorHAnsi" w:hAnsiTheme="majorHAnsi" w:cstheme="majorHAnsi"/>
                <w:szCs w:val="22"/>
              </w:rPr>
              <w:t>of CAREC Smart Water’s project on gender and design of gender audit, action plan and policy.</w:t>
            </w:r>
          </w:p>
        </w:tc>
      </w:tr>
      <w:tr w:rsidR="00F7703A" w:rsidRPr="00F7703A" w14:paraId="12AC621E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5D6D3444" w14:textId="53EA850E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April-May 2018</w:t>
            </w:r>
          </w:p>
        </w:tc>
        <w:tc>
          <w:tcPr>
            <w:tcW w:w="1440" w:type="dxa"/>
          </w:tcPr>
          <w:p w14:paraId="417B0851" w14:textId="5905FC56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Nunavut, Canada</w:t>
            </w:r>
          </w:p>
        </w:tc>
        <w:tc>
          <w:tcPr>
            <w:tcW w:w="3330" w:type="dxa"/>
          </w:tcPr>
          <w:p w14:paraId="2887E2BD" w14:textId="77777777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Senator Marilou McPhedran, Senate of Canada</w:t>
            </w:r>
          </w:p>
          <w:p w14:paraId="27FAEFAE" w14:textId="14CBCBBA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Marilou.McPhedran2@sen.parl.gc.ca</w:t>
            </w:r>
          </w:p>
        </w:tc>
        <w:tc>
          <w:tcPr>
            <w:tcW w:w="3600" w:type="dxa"/>
          </w:tcPr>
          <w:p w14:paraId="370D4211" w14:textId="6CC57790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Inception mission and report to Senate on Inuit women’s leadership, climate change and SDGs</w:t>
            </w:r>
          </w:p>
        </w:tc>
      </w:tr>
      <w:tr w:rsidR="00F7703A" w:rsidRPr="00F7703A" w14:paraId="3E6A63DC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EF0F1B6" w14:textId="21C12434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Jan – May 2018</w:t>
            </w:r>
          </w:p>
        </w:tc>
        <w:tc>
          <w:tcPr>
            <w:tcW w:w="1440" w:type="dxa"/>
          </w:tcPr>
          <w:p w14:paraId="79E481C8" w14:textId="77777777" w:rsid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Maldives/</w:t>
            </w:r>
          </w:p>
          <w:p w14:paraId="7C75CEAC" w14:textId="20CD2A82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</w:t>
            </w:r>
          </w:p>
        </w:tc>
        <w:tc>
          <w:tcPr>
            <w:tcW w:w="3330" w:type="dxa"/>
          </w:tcPr>
          <w:p w14:paraId="4E868A8E" w14:textId="09967AF6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UNDP Maldives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marenmellendorf@hotmail.com</w:t>
            </w:r>
          </w:p>
        </w:tc>
        <w:tc>
          <w:tcPr>
            <w:tcW w:w="3600" w:type="dxa"/>
          </w:tcPr>
          <w:p w14:paraId="77F64963" w14:textId="7682BAB3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Mainstream</w:t>
            </w:r>
            <w:r w:rsidR="00274D1F">
              <w:rPr>
                <w:rFonts w:asciiTheme="majorHAnsi" w:hAnsiTheme="majorHAnsi" w:cstheme="majorHAnsi"/>
                <w:szCs w:val="22"/>
              </w:rPr>
              <w:t xml:space="preserve">ed </w:t>
            </w:r>
            <w:r w:rsidRPr="00F7703A">
              <w:rPr>
                <w:rFonts w:asciiTheme="majorHAnsi" w:hAnsiTheme="majorHAnsi" w:cstheme="majorHAnsi"/>
                <w:szCs w:val="22"/>
              </w:rPr>
              <w:t>gender into UNDP project on chemicals and POPs under Stockholm Convention for NIP. Prepare gender analysis and gender action plan.</w:t>
            </w:r>
          </w:p>
        </w:tc>
      </w:tr>
      <w:tr w:rsidR="00F7703A" w:rsidRPr="00F7703A" w14:paraId="07C548AF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AF47A74" w14:textId="35C2164C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lastRenderedPageBreak/>
              <w:t>Sept – Dec 2017</w:t>
            </w:r>
          </w:p>
        </w:tc>
        <w:tc>
          <w:tcPr>
            <w:tcW w:w="1440" w:type="dxa"/>
          </w:tcPr>
          <w:p w14:paraId="24D51092" w14:textId="77777777" w:rsid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Tanzania/</w:t>
            </w:r>
          </w:p>
          <w:p w14:paraId="100AA61D" w14:textId="6E21E181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</w:t>
            </w:r>
          </w:p>
        </w:tc>
        <w:tc>
          <w:tcPr>
            <w:tcW w:w="3330" w:type="dxa"/>
          </w:tcPr>
          <w:p w14:paraId="5A9986F9" w14:textId="77777777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Right to Play</w:t>
            </w:r>
          </w:p>
          <w:p w14:paraId="03935538" w14:textId="47F3448C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eruestarchambault@righttoplay.com</w:t>
            </w:r>
          </w:p>
        </w:tc>
        <w:tc>
          <w:tcPr>
            <w:tcW w:w="3600" w:type="dxa"/>
          </w:tcPr>
          <w:p w14:paraId="139CF73B" w14:textId="09E358AD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Advised RTP on gender equality policy, action plan, field mission to Tanzania to carry out gender analysis</w:t>
            </w:r>
            <w:r w:rsidR="008654DC">
              <w:rPr>
                <w:rFonts w:asciiTheme="majorHAnsi" w:hAnsiTheme="majorHAnsi" w:cstheme="majorHAnsi"/>
                <w:szCs w:val="22"/>
              </w:rPr>
              <w:t xml:space="preserve"> and </w:t>
            </w:r>
            <w:r w:rsidR="008654DC"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evaluate</w:t>
            </w:r>
            <w:r w:rsidR="008654DC">
              <w:rPr>
                <w:rFonts w:asciiTheme="majorHAnsi" w:hAnsiTheme="majorHAnsi" w:cstheme="majorHAnsi"/>
                <w:szCs w:val="22"/>
              </w:rPr>
              <w:t xml:space="preserve"> field program</w:t>
            </w:r>
            <w:r w:rsidRPr="00F7703A"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  <w:tr w:rsidR="00F7703A" w:rsidRPr="00F7703A" w14:paraId="5EBC7B1F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6F52B30" w14:textId="0D23B494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September 2016</w:t>
            </w:r>
          </w:p>
        </w:tc>
        <w:tc>
          <w:tcPr>
            <w:tcW w:w="1440" w:type="dxa"/>
          </w:tcPr>
          <w:p w14:paraId="3686D9DB" w14:textId="7A7BBDA9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</w:t>
            </w:r>
          </w:p>
        </w:tc>
        <w:tc>
          <w:tcPr>
            <w:tcW w:w="3330" w:type="dxa"/>
          </w:tcPr>
          <w:p w14:paraId="07A68096" w14:textId="77777777" w:rsidR="00F7703A" w:rsidRPr="00F7703A" w:rsidRDefault="00F7703A" w:rsidP="00F7703A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bCs/>
                <w:szCs w:val="22"/>
                <w:lang w:bidi="ar-AE"/>
              </w:rPr>
            </w:pPr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 xml:space="preserve">International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Center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 xml:space="preserve"> for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>Biosaline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  <w:lang w:bidi="ar-AE"/>
              </w:rPr>
              <w:t xml:space="preserve"> Agriculture</w:t>
            </w:r>
            <w:r w:rsidRPr="00F7703A">
              <w:rPr>
                <w:rFonts w:asciiTheme="majorHAnsi" w:hAnsiTheme="majorHAnsi" w:cstheme="majorHAnsi"/>
                <w:bCs/>
                <w:szCs w:val="22"/>
                <w:lang w:bidi="ar-AE"/>
              </w:rPr>
              <w:t xml:space="preserve"> in Dubai (ICBA)</w:t>
            </w:r>
          </w:p>
          <w:p w14:paraId="6E60857D" w14:textId="2FCC5D7D" w:rsidR="00F7703A" w:rsidRPr="00F7703A" w:rsidRDefault="00F7703A" w:rsidP="00F7703A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proofErr w:type="spellStart"/>
            <w:r w:rsidRPr="00F7703A">
              <w:rPr>
                <w:rFonts w:asciiTheme="majorHAnsi" w:hAnsiTheme="majorHAnsi" w:cstheme="majorHAnsi"/>
                <w:bCs/>
                <w:szCs w:val="22"/>
                <w:lang w:bidi="ar-AE"/>
              </w:rPr>
              <w:t>Dr.</w:t>
            </w:r>
            <w:proofErr w:type="spellEnd"/>
            <w:r w:rsidRPr="00F7703A">
              <w:rPr>
                <w:rFonts w:asciiTheme="majorHAnsi" w:hAnsiTheme="majorHAnsi" w:cstheme="majorHAnsi"/>
                <w:bCs/>
                <w:szCs w:val="22"/>
                <w:lang w:bidi="ar-AE"/>
              </w:rPr>
              <w:t xml:space="preserve"> Khalil Ahmed Ammar kaa@biosaline.org.ae </w:t>
            </w:r>
          </w:p>
        </w:tc>
        <w:tc>
          <w:tcPr>
            <w:tcW w:w="3600" w:type="dxa"/>
          </w:tcPr>
          <w:p w14:paraId="5332CBAD" w14:textId="2D616982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Mid term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of CPET project; evaluation on inclusion of gender and OECD cross cutting issues for </w:t>
            </w:r>
            <w:r w:rsidRPr="00F7703A">
              <w:rPr>
                <w:rFonts w:asciiTheme="majorHAnsi" w:hAnsiTheme="majorHAnsi" w:cstheme="majorHAnsi"/>
                <w:bCs/>
                <w:szCs w:val="22"/>
                <w:lang w:bidi="ar-AE"/>
              </w:rPr>
              <w:t>Tigris Euphrates transboundary water project (SIDA funded).</w:t>
            </w:r>
          </w:p>
        </w:tc>
      </w:tr>
      <w:tr w:rsidR="00F7703A" w:rsidRPr="00F7703A" w14:paraId="015C7241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02DD40A9" w14:textId="6C4B13FC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June – Dec 2015</w:t>
            </w:r>
          </w:p>
        </w:tc>
        <w:tc>
          <w:tcPr>
            <w:tcW w:w="1440" w:type="dxa"/>
          </w:tcPr>
          <w:p w14:paraId="7D0636AF" w14:textId="04A3BA96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</w:t>
            </w:r>
          </w:p>
        </w:tc>
        <w:tc>
          <w:tcPr>
            <w:tcW w:w="3330" w:type="dxa"/>
          </w:tcPr>
          <w:p w14:paraId="24736C3C" w14:textId="77777777" w:rsidR="00F7703A" w:rsidRPr="00F7703A" w:rsidRDefault="00F7703A" w:rsidP="00DE231D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UNDP, Gender Team. </w:t>
            </w:r>
          </w:p>
          <w:p w14:paraId="726CC69E" w14:textId="6D357608" w:rsidR="00F7703A" w:rsidRPr="00F7703A" w:rsidRDefault="00F7703A" w:rsidP="002D5124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Randi </w:t>
            </w:r>
            <w:proofErr w:type="gramStart"/>
            <w:r w:rsidRPr="00F7703A">
              <w:rPr>
                <w:rFonts w:asciiTheme="majorHAnsi" w:hAnsiTheme="majorHAnsi" w:cstheme="majorHAnsi"/>
                <w:szCs w:val="22"/>
              </w:rPr>
              <w:t>Davis  randi.davis@undp.org</w:t>
            </w:r>
            <w:proofErr w:type="gramEnd"/>
          </w:p>
        </w:tc>
        <w:tc>
          <w:tcPr>
            <w:tcW w:w="3600" w:type="dxa"/>
          </w:tcPr>
          <w:p w14:paraId="47898267" w14:textId="6E27A361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UNDP, Gender Team. Development of gender training materials for all GEF financed UNDP projects globally on environment, biodiversity, climate change.</w:t>
            </w:r>
          </w:p>
        </w:tc>
      </w:tr>
      <w:tr w:rsidR="00F7703A" w:rsidRPr="00F7703A" w14:paraId="0969CE19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1703E587" w14:textId="68578714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Oct 2015 – Feb 2016</w:t>
            </w:r>
          </w:p>
        </w:tc>
        <w:tc>
          <w:tcPr>
            <w:tcW w:w="1440" w:type="dxa"/>
          </w:tcPr>
          <w:p w14:paraId="0B891BA0" w14:textId="1DA892D2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Vancouver</w:t>
            </w:r>
          </w:p>
        </w:tc>
        <w:tc>
          <w:tcPr>
            <w:tcW w:w="3330" w:type="dxa"/>
          </w:tcPr>
          <w:p w14:paraId="2FBB68DE" w14:textId="77777777" w:rsidR="00F7703A" w:rsidRPr="00F7703A" w:rsidRDefault="00F7703A" w:rsidP="00DE231D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Commonwealth of Learning. </w:t>
            </w:r>
          </w:p>
          <w:p w14:paraId="25F589B7" w14:textId="0517BC36" w:rsidR="00F7703A" w:rsidRPr="00F7703A" w:rsidRDefault="00F7703A" w:rsidP="00DE231D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Style w:val="go"/>
                <w:rFonts w:asciiTheme="majorHAnsi" w:hAnsiTheme="majorHAnsi" w:cstheme="majorHAnsi"/>
                <w:szCs w:val="22"/>
                <w:shd w:val="clear" w:color="auto" w:fill="FFFFFF"/>
              </w:rPr>
              <w:t>RWong@col.org</w:t>
            </w:r>
          </w:p>
        </w:tc>
        <w:tc>
          <w:tcPr>
            <w:tcW w:w="3600" w:type="dxa"/>
          </w:tcPr>
          <w:p w14:paraId="3B9976A8" w14:textId="2E4A081C" w:rsidR="00F7703A" w:rsidRPr="00F7703A" w:rsidRDefault="00F7703A" w:rsidP="001373FF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Development of gender mainstreaming on line course for all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CoL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staff and partners. </w:t>
            </w:r>
          </w:p>
        </w:tc>
      </w:tr>
      <w:tr w:rsidR="00F7703A" w:rsidRPr="00F7703A" w14:paraId="12E3F732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14594304" w14:textId="04344E5C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July 2015</w:t>
            </w:r>
          </w:p>
        </w:tc>
        <w:tc>
          <w:tcPr>
            <w:tcW w:w="1440" w:type="dxa"/>
          </w:tcPr>
          <w:p w14:paraId="3F6CB5D6" w14:textId="16FFE235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Kazakhstan</w:t>
            </w:r>
          </w:p>
        </w:tc>
        <w:tc>
          <w:tcPr>
            <w:tcW w:w="3330" w:type="dxa"/>
          </w:tcPr>
          <w:p w14:paraId="2593586B" w14:textId="77777777" w:rsidR="00F7703A" w:rsidRPr="00F7703A" w:rsidRDefault="00F7703A" w:rsidP="00DE231D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OSCE, Vienna</w:t>
            </w:r>
          </w:p>
          <w:tbl>
            <w:tblPr>
              <w:tblW w:w="78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5"/>
            </w:tblGrid>
            <w:tr w:rsidR="00F7703A" w:rsidRPr="00F7703A" w14:paraId="5C0F485E" w14:textId="77777777" w:rsidTr="002D5124">
              <w:trPr>
                <w:trHeight w:val="240"/>
              </w:trPr>
              <w:tc>
                <w:tcPr>
                  <w:tcW w:w="788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8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5"/>
                  </w:tblGrid>
                  <w:tr w:rsidR="00F7703A" w:rsidRPr="00F7703A" w14:paraId="3F9F1514" w14:textId="77777777">
                    <w:tc>
                      <w:tcPr>
                        <w:tcW w:w="7895" w:type="dxa"/>
                        <w:vAlign w:val="center"/>
                        <w:hideMark/>
                      </w:tcPr>
                      <w:p w14:paraId="1B91B37A" w14:textId="3E2FDE6C" w:rsidR="00F7703A" w:rsidRPr="00F7703A" w:rsidRDefault="00F7703A" w:rsidP="00DE231D">
                        <w:pPr>
                          <w:pStyle w:val="Heading3"/>
                          <w:rPr>
                            <w:rFonts w:cstheme="majorHAnsi"/>
                            <w:color w:val="auto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rStyle w:val="go"/>
                            <w:rFonts w:cstheme="majorHAnsi"/>
                            <w:color w:val="auto"/>
                            <w:sz w:val="22"/>
                            <w:szCs w:val="22"/>
                          </w:rPr>
                          <w:t>h.femundsenden</w:t>
                        </w:r>
                        <w:r w:rsidRPr="00F7703A">
                          <w:rPr>
                            <w:rStyle w:val="go"/>
                            <w:rFonts w:cstheme="majorHAnsi"/>
                            <w:color w:val="auto"/>
                            <w:sz w:val="22"/>
                            <w:szCs w:val="22"/>
                          </w:rPr>
                          <w:t>@unido.org</w:t>
                        </w:r>
                      </w:p>
                    </w:tc>
                  </w:tr>
                </w:tbl>
                <w:p w14:paraId="54F87E3A" w14:textId="77777777" w:rsidR="00F7703A" w:rsidRPr="00F7703A" w:rsidRDefault="00F7703A" w:rsidP="00DE231D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14:paraId="4888B439" w14:textId="36B6EF68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600" w:type="dxa"/>
          </w:tcPr>
          <w:p w14:paraId="4CC73FB6" w14:textId="25D0A2F7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Research and keynote address at workshop on water governance, peace and security and role of women.</w:t>
            </w:r>
          </w:p>
        </w:tc>
      </w:tr>
      <w:tr w:rsidR="00F7703A" w:rsidRPr="00F7703A" w14:paraId="7B7FB499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100D89ED" w14:textId="64E66591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Oct – Dec 2014</w:t>
            </w:r>
          </w:p>
        </w:tc>
        <w:tc>
          <w:tcPr>
            <w:tcW w:w="1440" w:type="dxa"/>
          </w:tcPr>
          <w:p w14:paraId="7270F993" w14:textId="4B5C6752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</w:t>
            </w:r>
          </w:p>
        </w:tc>
        <w:tc>
          <w:tcPr>
            <w:tcW w:w="3330" w:type="dxa"/>
          </w:tcPr>
          <w:p w14:paraId="7F83A93A" w14:textId="23FB1082" w:rsidR="00F7703A" w:rsidRPr="00F7703A" w:rsidRDefault="00F7703A" w:rsidP="002D5124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UNIDO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5"/>
            </w:tblGrid>
            <w:tr w:rsidR="00F7703A" w:rsidRPr="00F7703A" w14:paraId="29FE8DC1" w14:textId="77777777" w:rsidTr="00671337">
              <w:trPr>
                <w:trHeight w:val="240"/>
              </w:trPr>
              <w:tc>
                <w:tcPr>
                  <w:tcW w:w="788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8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5"/>
                  </w:tblGrid>
                  <w:tr w:rsidR="00F7703A" w:rsidRPr="00F7703A" w14:paraId="10AE8C6C" w14:textId="77777777" w:rsidTr="00671337">
                    <w:tc>
                      <w:tcPr>
                        <w:tcW w:w="7895" w:type="dxa"/>
                        <w:vAlign w:val="center"/>
                        <w:hideMark/>
                      </w:tcPr>
                      <w:p w14:paraId="79000436" w14:textId="519B7E06" w:rsidR="00F7703A" w:rsidRPr="00F7703A" w:rsidRDefault="00F7703A" w:rsidP="001373FF">
                        <w:pPr>
                          <w:pStyle w:val="Heading3"/>
                          <w:rPr>
                            <w:rFonts w:cstheme="majorHAnsi"/>
                            <w:color w:val="auto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rStyle w:val="go"/>
                            <w:rFonts w:cstheme="majorHAnsi"/>
                            <w:color w:val="auto"/>
                            <w:sz w:val="22"/>
                            <w:szCs w:val="22"/>
                          </w:rPr>
                          <w:t>h.femundsenden</w:t>
                        </w:r>
                        <w:r w:rsidRPr="00F7703A">
                          <w:rPr>
                            <w:rStyle w:val="go"/>
                            <w:rFonts w:cstheme="majorHAnsi"/>
                            <w:color w:val="auto"/>
                            <w:sz w:val="22"/>
                            <w:szCs w:val="22"/>
                          </w:rPr>
                          <w:t>@unido.org</w:t>
                        </w:r>
                      </w:p>
                    </w:tc>
                  </w:tr>
                </w:tbl>
                <w:p w14:paraId="134DC801" w14:textId="77777777" w:rsidR="00F7703A" w:rsidRPr="00F7703A" w:rsidRDefault="00F7703A" w:rsidP="001373FF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14:paraId="73236A3F" w14:textId="0EB4C54B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600" w:type="dxa"/>
          </w:tcPr>
          <w:p w14:paraId="64F73A2D" w14:textId="56319A7C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UNIDO. Drafting of policy documents for women’s economic empowerment on Gender and Green Industry.</w:t>
            </w:r>
          </w:p>
        </w:tc>
      </w:tr>
      <w:tr w:rsidR="00F7703A" w:rsidRPr="00F7703A" w14:paraId="791FE5DD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EB323F9" w14:textId="553374C3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July – Sept 2014</w:t>
            </w:r>
          </w:p>
        </w:tc>
        <w:tc>
          <w:tcPr>
            <w:tcW w:w="1440" w:type="dxa"/>
          </w:tcPr>
          <w:p w14:paraId="3977F1EE" w14:textId="27A916B8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</w:t>
            </w:r>
          </w:p>
        </w:tc>
        <w:tc>
          <w:tcPr>
            <w:tcW w:w="3330" w:type="dxa"/>
          </w:tcPr>
          <w:p w14:paraId="04C827BA" w14:textId="77777777" w:rsidR="00F7703A" w:rsidRPr="00F7703A" w:rsidRDefault="00F7703A" w:rsidP="002D5124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Global Environment Facility (GEF)</w:t>
            </w:r>
          </w:p>
          <w:tbl>
            <w:tblPr>
              <w:tblW w:w="791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2"/>
            </w:tblGrid>
            <w:tr w:rsidR="00F7703A" w:rsidRPr="00F7703A" w14:paraId="116ECBF7" w14:textId="77777777" w:rsidTr="002D5124">
              <w:trPr>
                <w:trHeight w:val="240"/>
              </w:trPr>
              <w:tc>
                <w:tcPr>
                  <w:tcW w:w="7912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F7703A" w:rsidRPr="00F7703A" w14:paraId="3DF5EDA5" w14:textId="77777777">
                    <w:tc>
                      <w:tcPr>
                        <w:tcW w:w="7923" w:type="dxa"/>
                        <w:vAlign w:val="center"/>
                        <w:hideMark/>
                      </w:tcPr>
                      <w:p w14:paraId="51658040" w14:textId="7B19DF58" w:rsidR="00F7703A" w:rsidRPr="00F7703A" w:rsidRDefault="00F7703A" w:rsidP="00CE33C4">
                        <w:pPr>
                          <w:pStyle w:val="Heading3"/>
                          <w:rPr>
                            <w:rFonts w:cstheme="majorHAnsi"/>
                            <w:color w:val="auto"/>
                            <w:sz w:val="22"/>
                            <w:szCs w:val="22"/>
                            <w:lang w:val="en-US" w:eastAsia="en-US"/>
                          </w:rPr>
                        </w:pPr>
                        <w:r w:rsidRPr="00F7703A">
                          <w:rPr>
                            <w:rStyle w:val="go"/>
                            <w:rFonts w:cstheme="majorHAnsi"/>
                            <w:color w:val="auto"/>
                            <w:sz w:val="22"/>
                            <w:szCs w:val="22"/>
                          </w:rPr>
                          <w:t>ywatanabe@thegef.org</w:t>
                        </w:r>
                      </w:p>
                    </w:tc>
                  </w:tr>
                </w:tbl>
                <w:p w14:paraId="1EAA96FB" w14:textId="77777777" w:rsidR="00F7703A" w:rsidRPr="00F7703A" w:rsidRDefault="00F7703A" w:rsidP="00CE33C4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14:paraId="498915A5" w14:textId="6BC33A8D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600" w:type="dxa"/>
          </w:tcPr>
          <w:p w14:paraId="299FF8FE" w14:textId="6434AF19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Drafting of the Gender Equality Action Plan for the GEF, mandatory for all GEF environment projects. </w:t>
            </w:r>
          </w:p>
        </w:tc>
      </w:tr>
      <w:tr w:rsidR="00F7703A" w:rsidRPr="00F7703A" w14:paraId="473D54D7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BD08A15" w14:textId="6A1B93CE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Sept 2014 – June 2015</w:t>
            </w:r>
          </w:p>
        </w:tc>
        <w:tc>
          <w:tcPr>
            <w:tcW w:w="1440" w:type="dxa"/>
          </w:tcPr>
          <w:p w14:paraId="0A4E5193" w14:textId="7A9A1E73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based, New York UNDP, Haiti and Bangladesh</w:t>
            </w:r>
          </w:p>
        </w:tc>
        <w:tc>
          <w:tcPr>
            <w:tcW w:w="3330" w:type="dxa"/>
          </w:tcPr>
          <w:p w14:paraId="3B5C9327" w14:textId="4E73D4FE" w:rsidR="00F7703A" w:rsidRPr="00F7703A" w:rsidRDefault="00F7703A" w:rsidP="00F96050">
            <w:pPr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UNDP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Evaluation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Office</w:t>
            </w:r>
          </w:p>
          <w:p w14:paraId="799C374F" w14:textId="48F6DCC3" w:rsidR="00F7703A" w:rsidRPr="00F7703A" w:rsidRDefault="00F7703A" w:rsidP="00EA2DDB">
            <w:pPr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ana.soares@undp.org</w:t>
            </w:r>
          </w:p>
        </w:tc>
        <w:tc>
          <w:tcPr>
            <w:tcW w:w="3600" w:type="dxa"/>
          </w:tcPr>
          <w:p w14:paraId="7D692F02" w14:textId="70171ABB" w:rsidR="00F7703A" w:rsidRPr="00F7703A" w:rsidRDefault="00F7703A" w:rsidP="00F7703A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of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UNDP’s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gender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strategy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2008-2013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Environment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>/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energy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thematic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area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. 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Desk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review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outcoming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mapping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questionnaire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research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site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visits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focus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groups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interviews,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outcome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harvesting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  <w:tr w:rsidR="00F7703A" w:rsidRPr="00F7703A" w14:paraId="4A7713B5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1DCFF29D" w14:textId="506532CB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Aug – Nov 2013</w:t>
            </w:r>
          </w:p>
        </w:tc>
        <w:tc>
          <w:tcPr>
            <w:tcW w:w="1440" w:type="dxa"/>
          </w:tcPr>
          <w:p w14:paraId="02683D6D" w14:textId="77777777" w:rsid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Geneva, Malaysia, </w:t>
            </w:r>
          </w:p>
          <w:p w14:paraId="4D9B2556" w14:textId="4E53DD93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SE Asia</w:t>
            </w:r>
          </w:p>
        </w:tc>
        <w:tc>
          <w:tcPr>
            <w:tcW w:w="3330" w:type="dxa"/>
          </w:tcPr>
          <w:p w14:paraId="5E593ED7" w14:textId="77777777" w:rsidR="00F7703A" w:rsidRPr="00F7703A" w:rsidRDefault="00F7703A" w:rsidP="00D04995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International Women’s Rights Action Watch – Asia Pacific (IWRAW-AP)</w:t>
            </w:r>
          </w:p>
          <w:p w14:paraId="53F425D7" w14:textId="668A2FD0" w:rsidR="00F7703A" w:rsidRPr="00F7703A" w:rsidRDefault="00F7703A" w:rsidP="00D04995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audrey@iwraw-ap.org</w:t>
            </w:r>
          </w:p>
        </w:tc>
        <w:tc>
          <w:tcPr>
            <w:tcW w:w="3600" w:type="dxa"/>
          </w:tcPr>
          <w:p w14:paraId="6EFBBC63" w14:textId="48FE3DA2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International Women’s Rights Action Watch – Asia Pacific (IWRAW-AP). Conducted </w:t>
            </w: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 xml:space="preserve">evaluation </w:t>
            </w:r>
            <w:r w:rsidRPr="00F7703A">
              <w:rPr>
                <w:rFonts w:asciiTheme="majorHAnsi" w:hAnsiTheme="majorHAnsi" w:cstheme="majorHAnsi"/>
                <w:szCs w:val="22"/>
              </w:rPr>
              <w:t>of programmes and organization, site visits SE Asia (5 countries).</w:t>
            </w:r>
          </w:p>
        </w:tc>
      </w:tr>
      <w:tr w:rsidR="00F7703A" w:rsidRPr="00F7703A" w14:paraId="7E798177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3E7E2308" w14:textId="46F920F2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July – Oct 2013</w:t>
            </w:r>
          </w:p>
        </w:tc>
        <w:tc>
          <w:tcPr>
            <w:tcW w:w="1440" w:type="dxa"/>
          </w:tcPr>
          <w:p w14:paraId="0812D0B6" w14:textId="6E7FBAE4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Bangladesh and Viet Nam</w:t>
            </w:r>
          </w:p>
        </w:tc>
        <w:tc>
          <w:tcPr>
            <w:tcW w:w="3330" w:type="dxa"/>
          </w:tcPr>
          <w:p w14:paraId="1752CE70" w14:textId="53FE0EA3" w:rsidR="00F7703A" w:rsidRPr="00F7703A" w:rsidRDefault="00F7703A" w:rsidP="00D04995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UNDP</w:t>
            </w:r>
          </w:p>
          <w:p w14:paraId="54DD91AF" w14:textId="1117A28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lucy.wanjiru@undp.org</w:t>
            </w:r>
          </w:p>
        </w:tc>
        <w:tc>
          <w:tcPr>
            <w:tcW w:w="3600" w:type="dxa"/>
          </w:tcPr>
          <w:p w14:paraId="2C777969" w14:textId="439C2EDE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UNDP.</w:t>
            </w: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 xml:space="preserve"> Evaluation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of the Global Gender Climate Alliance (GGCA) program of UNDP, WEDO and IUCN on gender and climate change. UNDP funded and managed.</w:t>
            </w:r>
          </w:p>
        </w:tc>
      </w:tr>
      <w:tr w:rsidR="00F7703A" w:rsidRPr="00F7703A" w14:paraId="4BEA531C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42E2BE7B" w14:textId="1D37F105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lastRenderedPageBreak/>
              <w:t>July – Oct 2013</w:t>
            </w:r>
          </w:p>
        </w:tc>
        <w:tc>
          <w:tcPr>
            <w:tcW w:w="1440" w:type="dxa"/>
          </w:tcPr>
          <w:p w14:paraId="0FB23BA5" w14:textId="26587C5B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</w:t>
            </w:r>
          </w:p>
        </w:tc>
        <w:tc>
          <w:tcPr>
            <w:tcW w:w="3330" w:type="dxa"/>
          </w:tcPr>
          <w:p w14:paraId="282B9D55" w14:textId="77777777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World Bank Global Environment Facility (GEF)</w:t>
            </w:r>
          </w:p>
          <w:p w14:paraId="43A6DCF1" w14:textId="2E0C8CFE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aveldhaus@thegef.org</w:t>
            </w:r>
          </w:p>
        </w:tc>
        <w:tc>
          <w:tcPr>
            <w:tcW w:w="3600" w:type="dxa"/>
          </w:tcPr>
          <w:p w14:paraId="3354811F" w14:textId="49452B48" w:rsidR="00F7703A" w:rsidRPr="00F7703A" w:rsidRDefault="008654DC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7703A" w:rsidRPr="00F7703A">
              <w:rPr>
                <w:rFonts w:asciiTheme="majorHAnsi" w:hAnsiTheme="majorHAnsi" w:cstheme="majorHAnsi"/>
                <w:szCs w:val="22"/>
              </w:rPr>
              <w:t>of all GEF Agencies’ compliance with gender mainstreaming policy to prepare drafting of the gender equality strategy and monitor GEF projects for compliance with gender mainstreaming.</w:t>
            </w:r>
          </w:p>
        </w:tc>
      </w:tr>
      <w:tr w:rsidR="00F7703A" w:rsidRPr="00F7703A" w14:paraId="742A85C8" w14:textId="77777777" w:rsidTr="00F7703A">
        <w:trPr>
          <w:cantSplit/>
          <w:trHeight w:val="498"/>
          <w:jc w:val="center"/>
        </w:trPr>
        <w:tc>
          <w:tcPr>
            <w:tcW w:w="1147" w:type="dxa"/>
          </w:tcPr>
          <w:p w14:paraId="51E8AE37" w14:textId="6F084339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Sept 2012</w:t>
            </w:r>
          </w:p>
        </w:tc>
        <w:tc>
          <w:tcPr>
            <w:tcW w:w="1440" w:type="dxa"/>
          </w:tcPr>
          <w:p w14:paraId="6670443A" w14:textId="3C1B1033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Mongolia</w:t>
            </w:r>
          </w:p>
        </w:tc>
        <w:tc>
          <w:tcPr>
            <w:tcW w:w="3330" w:type="dxa"/>
          </w:tcPr>
          <w:p w14:paraId="05798BBA" w14:textId="77777777" w:rsidR="00F7703A" w:rsidRPr="00F7703A" w:rsidRDefault="00F7703A" w:rsidP="00347C84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UNFPA Mongolia</w:t>
            </w:r>
          </w:p>
          <w:p w14:paraId="7BF65383" w14:textId="242D5BFD" w:rsidR="00F7703A" w:rsidRPr="00F7703A" w:rsidRDefault="00224DE3" w:rsidP="00347C84">
            <w:pPr>
              <w:shd w:val="clear" w:color="auto" w:fill="FFFFFF"/>
              <w:spacing w:line="240" w:lineRule="auto"/>
              <w:ind w:right="0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hyperlink r:id="rId8" w:history="1">
              <w:r w:rsidR="00F7703A" w:rsidRPr="00F7703A">
                <w:rPr>
                  <w:rStyle w:val="Hyperlink"/>
                  <w:rFonts w:asciiTheme="majorHAnsi" w:hAnsiTheme="majorHAnsi" w:cstheme="majorHAnsi"/>
                  <w:color w:val="auto"/>
                  <w:szCs w:val="22"/>
                  <w:u w:val="none"/>
                  <w:lang w:val="en-US" w:eastAsia="en-US"/>
                </w:rPr>
                <w:t>altantuya@unfpa.org</w:t>
              </w:r>
            </w:hyperlink>
          </w:p>
        </w:tc>
        <w:tc>
          <w:tcPr>
            <w:tcW w:w="3600" w:type="dxa"/>
          </w:tcPr>
          <w:p w14:paraId="6918B6D2" w14:textId="11CD0EFF" w:rsidR="00F7703A" w:rsidRPr="00F7703A" w:rsidRDefault="00F7703A" w:rsidP="00347C84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UNFPA Mongolia: Consultant on Law on Gender Equality, developed action plan for implementation of law in Mongolia.</w:t>
            </w:r>
          </w:p>
        </w:tc>
      </w:tr>
      <w:tr w:rsidR="00F7703A" w:rsidRPr="00F7703A" w14:paraId="5AF10470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05486F5A" w14:textId="14A61D4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April-May 2012</w:t>
            </w:r>
          </w:p>
        </w:tc>
        <w:tc>
          <w:tcPr>
            <w:tcW w:w="1440" w:type="dxa"/>
          </w:tcPr>
          <w:p w14:paraId="46E472B0" w14:textId="621C772E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Home/ SE Asia</w:t>
            </w:r>
          </w:p>
        </w:tc>
        <w:tc>
          <w:tcPr>
            <w:tcW w:w="3330" w:type="dxa"/>
          </w:tcPr>
          <w:p w14:paraId="45109D1C" w14:textId="71802654" w:rsidR="00F7703A" w:rsidRPr="00F7703A" w:rsidRDefault="00F7703A" w:rsidP="00347C84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UN Women. Christine Hunter, Country Director UN Women </w:t>
            </w:r>
            <w:proofErr w:type="gramStart"/>
            <w:r w:rsidRPr="00F7703A">
              <w:rPr>
                <w:rFonts w:asciiTheme="majorHAnsi" w:hAnsiTheme="majorHAnsi" w:cstheme="majorHAnsi"/>
                <w:szCs w:val="22"/>
              </w:rPr>
              <w:t>Bangladesh  chrishunter@fastmail.net</w:t>
            </w:r>
            <w:proofErr w:type="gramEnd"/>
          </w:p>
        </w:tc>
        <w:tc>
          <w:tcPr>
            <w:tcW w:w="3600" w:type="dxa"/>
          </w:tcPr>
          <w:p w14:paraId="16CD3EDB" w14:textId="08FE355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F7703A">
              <w:rPr>
                <w:rFonts w:asciiTheme="majorHAnsi" w:hAnsiTheme="majorHAnsi" w:cstheme="majorHAnsi"/>
                <w:szCs w:val="22"/>
              </w:rPr>
              <w:t xml:space="preserve">Consultant  </w:t>
            </w:r>
            <w:r w:rsidR="008654DC"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proofErr w:type="gramEnd"/>
            <w:r w:rsidR="008654DC">
              <w:rPr>
                <w:rFonts w:asciiTheme="majorHAnsi" w:hAnsiTheme="majorHAnsi" w:cstheme="majorHAnsi"/>
                <w:szCs w:val="22"/>
              </w:rPr>
              <w:t xml:space="preserve"> of 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CEDAW </w:t>
            </w:r>
            <w:r w:rsidR="008654DC">
              <w:rPr>
                <w:rFonts w:asciiTheme="majorHAnsi" w:hAnsiTheme="majorHAnsi" w:cstheme="majorHAnsi"/>
                <w:szCs w:val="22"/>
              </w:rPr>
              <w:t>implementation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SEA NGOs. Viet Nam, Philippines, Timor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Leste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, Thailand, Cambodia, Laos, </w:t>
            </w:r>
            <w:proofErr w:type="gramStart"/>
            <w:r w:rsidRPr="00F7703A">
              <w:rPr>
                <w:rFonts w:asciiTheme="majorHAnsi" w:hAnsiTheme="majorHAnsi" w:cstheme="majorHAnsi"/>
                <w:szCs w:val="22"/>
              </w:rPr>
              <w:t>Malaysia,  meeting</w:t>
            </w:r>
            <w:proofErr w:type="gramEnd"/>
            <w:r w:rsidRPr="00F7703A">
              <w:rPr>
                <w:rFonts w:asciiTheme="majorHAnsi" w:hAnsiTheme="majorHAnsi" w:cstheme="majorHAnsi"/>
                <w:szCs w:val="22"/>
              </w:rPr>
              <w:t xml:space="preserve"> with governments, UN and NGOs.</w:t>
            </w:r>
          </w:p>
        </w:tc>
      </w:tr>
      <w:tr w:rsidR="00F7703A" w:rsidRPr="00F7703A" w14:paraId="245874F7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022BAEBD" w14:textId="63AB2CA7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March 2012</w:t>
            </w:r>
          </w:p>
        </w:tc>
        <w:tc>
          <w:tcPr>
            <w:tcW w:w="1440" w:type="dxa"/>
          </w:tcPr>
          <w:p w14:paraId="60DB4247" w14:textId="13B2AFB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 and Rio, Brazil</w:t>
            </w:r>
          </w:p>
        </w:tc>
        <w:tc>
          <w:tcPr>
            <w:tcW w:w="3330" w:type="dxa"/>
          </w:tcPr>
          <w:p w14:paraId="2C918679" w14:textId="77777777" w:rsidR="00F7703A" w:rsidRPr="00F7703A" w:rsidRDefault="00F7703A" w:rsidP="00347C84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UNDP Gender Team.</w:t>
            </w:r>
          </w:p>
          <w:p w14:paraId="568A91C9" w14:textId="0C808828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Blerta.cela@undp.org</w:t>
            </w:r>
          </w:p>
        </w:tc>
        <w:tc>
          <w:tcPr>
            <w:tcW w:w="3600" w:type="dxa"/>
          </w:tcPr>
          <w:p w14:paraId="482DE935" w14:textId="593B9FF4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UNDP Gender: Development of paper on gender, women and water for Rio+20. March 2012.</w:t>
            </w:r>
          </w:p>
        </w:tc>
      </w:tr>
      <w:tr w:rsidR="00F7703A" w:rsidRPr="00F7703A" w14:paraId="6F3702DD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36E4A4C7" w14:textId="5F89E6B1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Jan – March 2012</w:t>
            </w:r>
          </w:p>
        </w:tc>
        <w:tc>
          <w:tcPr>
            <w:tcW w:w="1440" w:type="dxa"/>
          </w:tcPr>
          <w:p w14:paraId="7C92320B" w14:textId="0CC4DB09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Home based and Rio</w:t>
            </w:r>
          </w:p>
        </w:tc>
        <w:tc>
          <w:tcPr>
            <w:tcW w:w="3330" w:type="dxa"/>
          </w:tcPr>
          <w:p w14:paraId="5E422B3E" w14:textId="77777777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 Women</w:t>
            </w:r>
          </w:p>
          <w:p w14:paraId="0F96C257" w14:textId="5701E7C5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Anna.falth@unwomen.org</w:t>
            </w:r>
          </w:p>
        </w:tc>
        <w:tc>
          <w:tcPr>
            <w:tcW w:w="3600" w:type="dxa"/>
          </w:tcPr>
          <w:p w14:paraId="0F23E5E4" w14:textId="40908F73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UN Women: Development of concept paper on institutional frameworks for gender equality, environment and sustainable development in preparation for Rio+20.</w:t>
            </w:r>
          </w:p>
        </w:tc>
      </w:tr>
      <w:tr w:rsidR="00F7703A" w:rsidRPr="00F7703A" w14:paraId="267422DA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2995FEF" w14:textId="6077C8FF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June-</w:t>
            </w:r>
            <w:r w:rsidR="008654DC">
              <w:rPr>
                <w:rFonts w:asciiTheme="majorHAnsi" w:hAnsiTheme="majorHAnsi" w:cstheme="majorHAnsi"/>
                <w:szCs w:val="22"/>
              </w:rPr>
              <w:t>Oct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2011</w:t>
            </w:r>
          </w:p>
          <w:p w14:paraId="10B44D3A" w14:textId="5E76CA2A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0" w:type="dxa"/>
          </w:tcPr>
          <w:p w14:paraId="70035F91" w14:textId="5037DF32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Afghanistan</w:t>
            </w:r>
          </w:p>
        </w:tc>
        <w:tc>
          <w:tcPr>
            <w:tcW w:w="3330" w:type="dxa"/>
          </w:tcPr>
          <w:p w14:paraId="711FE09D" w14:textId="017DC844" w:rsidR="00F7703A" w:rsidRPr="00F7703A" w:rsidRDefault="00F7703A" w:rsidP="00347C84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USAID </w:t>
            </w:r>
          </w:p>
          <w:p w14:paraId="4C76320A" w14:textId="2CD76F62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lynbneylon@earthlink.net </w:t>
            </w:r>
          </w:p>
        </w:tc>
        <w:tc>
          <w:tcPr>
            <w:tcW w:w="3600" w:type="dxa"/>
          </w:tcPr>
          <w:p w14:paraId="2AC6C4AE" w14:textId="537D20F4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of American Ambassadors Small Grants Program for Gender Equality (ASGP), Afghanistan. </w:t>
            </w: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DevTech</w:t>
            </w:r>
            <w:proofErr w:type="spellEnd"/>
            <w:r w:rsidRPr="00F7703A">
              <w:rPr>
                <w:rFonts w:asciiTheme="majorHAnsi" w:hAnsiTheme="majorHAnsi" w:cstheme="majorHAnsi"/>
                <w:szCs w:val="22"/>
              </w:rPr>
              <w:t xml:space="preserve"> Systems. </w:t>
            </w:r>
          </w:p>
        </w:tc>
      </w:tr>
      <w:tr w:rsidR="00F7703A" w:rsidRPr="00F7703A" w14:paraId="438E00DF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59BAB617" w14:textId="7C9B542B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August 2009</w:t>
            </w:r>
          </w:p>
        </w:tc>
        <w:tc>
          <w:tcPr>
            <w:tcW w:w="1440" w:type="dxa"/>
          </w:tcPr>
          <w:p w14:paraId="6AE88684" w14:textId="1460731F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Uganda</w:t>
            </w:r>
          </w:p>
        </w:tc>
        <w:tc>
          <w:tcPr>
            <w:tcW w:w="3330" w:type="dxa"/>
          </w:tcPr>
          <w:p w14:paraId="0BEEFA7D" w14:textId="5497C6A1" w:rsidR="00F7703A" w:rsidRPr="00F7703A" w:rsidRDefault="00F7703A" w:rsidP="00347C84">
            <w:pPr>
              <w:pStyle w:val="normaltableau"/>
              <w:spacing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Environmental Action for Women and Development, Entebbe, Uganda.</w:t>
            </w:r>
          </w:p>
          <w:p w14:paraId="757D60F3" w14:textId="07C183B5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ewadmission.mt56@gmail.com</w:t>
            </w:r>
          </w:p>
        </w:tc>
        <w:tc>
          <w:tcPr>
            <w:tcW w:w="3600" w:type="dxa"/>
          </w:tcPr>
          <w:p w14:paraId="3D92CB4C" w14:textId="4799D69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A partnership with IWRP – collaboration on Lake Victoria GEF funded environmental project and local case study on gender and climate change and water policies.</w:t>
            </w:r>
          </w:p>
        </w:tc>
      </w:tr>
      <w:tr w:rsidR="00F7703A" w:rsidRPr="00F7703A" w14:paraId="76682956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4B5568AA" w14:textId="024AE016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July – Nov 2007</w:t>
            </w:r>
          </w:p>
        </w:tc>
        <w:tc>
          <w:tcPr>
            <w:tcW w:w="1440" w:type="dxa"/>
          </w:tcPr>
          <w:p w14:paraId="269D1A2D" w14:textId="09DBFF64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Burma, Thailand, Philippines, and Kenya</w:t>
            </w:r>
          </w:p>
        </w:tc>
        <w:tc>
          <w:tcPr>
            <w:tcW w:w="3330" w:type="dxa"/>
          </w:tcPr>
          <w:p w14:paraId="3D5135B1" w14:textId="77777777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Open Society Institute, Budapest</w:t>
            </w:r>
          </w:p>
          <w:p w14:paraId="7401F0B5" w14:textId="6A9E2C44" w:rsidR="00F7703A" w:rsidRPr="00F7703A" w:rsidRDefault="00F7703A" w:rsidP="00F96050">
            <w:pPr>
              <w:pStyle w:val="normaltableau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  <w:shd w:val="clear" w:color="auto" w:fill="FFFFFF"/>
              </w:rPr>
              <w:t>jhaven@osieurope.org</w:t>
            </w:r>
          </w:p>
        </w:tc>
        <w:tc>
          <w:tcPr>
            <w:tcW w:w="3600" w:type="dxa"/>
          </w:tcPr>
          <w:p w14:paraId="013F59E4" w14:textId="38386F66" w:rsidR="00F7703A" w:rsidRPr="00F7703A" w:rsidRDefault="008654DC" w:rsidP="00F96050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>
              <w:rPr>
                <w:rFonts w:asciiTheme="majorHAnsi" w:hAnsiTheme="majorHAnsi" w:cstheme="majorHAnsi"/>
                <w:szCs w:val="22"/>
              </w:rPr>
              <w:t xml:space="preserve"> of </w:t>
            </w:r>
            <w:r w:rsidR="00F7703A" w:rsidRPr="00F7703A">
              <w:rPr>
                <w:rFonts w:asciiTheme="majorHAnsi" w:hAnsiTheme="majorHAnsi" w:cstheme="majorHAnsi"/>
                <w:szCs w:val="22"/>
              </w:rPr>
              <w:t>human rights documentation software in Burma, Thailand, Philippines, China, and Kenya. Development of action plan on improvements to documentation software.</w:t>
            </w:r>
          </w:p>
        </w:tc>
      </w:tr>
      <w:tr w:rsidR="00F7703A" w:rsidRPr="00F7703A" w14:paraId="19D60EAE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79517DC8" w14:textId="232B8E7C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September 2006</w:t>
            </w:r>
          </w:p>
        </w:tc>
        <w:tc>
          <w:tcPr>
            <w:tcW w:w="1440" w:type="dxa"/>
          </w:tcPr>
          <w:p w14:paraId="465363E2" w14:textId="5905F6CC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Jordan</w:t>
            </w:r>
          </w:p>
        </w:tc>
        <w:tc>
          <w:tcPr>
            <w:tcW w:w="3330" w:type="dxa"/>
          </w:tcPr>
          <w:p w14:paraId="082BA341" w14:textId="2EEF4D76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CIDA Canadian International Development Agency.  rpaisley@mail.ubc.ca</w:t>
            </w:r>
          </w:p>
        </w:tc>
        <w:tc>
          <w:tcPr>
            <w:tcW w:w="3600" w:type="dxa"/>
          </w:tcPr>
          <w:p w14:paraId="082F4E28" w14:textId="3531C9F4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Consultant on Iraqi Mesopotamian Marshlands Project workshop to prepare gender analysis.</w:t>
            </w:r>
          </w:p>
        </w:tc>
      </w:tr>
      <w:tr w:rsidR="00F7703A" w:rsidRPr="00F7703A" w14:paraId="61990404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255218A2" w14:textId="6C695E35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lastRenderedPageBreak/>
              <w:t>July - November 2002</w:t>
            </w:r>
          </w:p>
        </w:tc>
        <w:tc>
          <w:tcPr>
            <w:tcW w:w="1440" w:type="dxa"/>
          </w:tcPr>
          <w:p w14:paraId="5987CE80" w14:textId="3840A70B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Croatia and Bosnia</w:t>
            </w:r>
          </w:p>
        </w:tc>
        <w:tc>
          <w:tcPr>
            <w:tcW w:w="3330" w:type="dxa"/>
          </w:tcPr>
          <w:p w14:paraId="1971BB85" w14:textId="77777777" w:rsidR="00F7703A" w:rsidRPr="00F7703A" w:rsidRDefault="00F7703A" w:rsidP="00095F82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F7703A">
              <w:rPr>
                <w:rFonts w:asciiTheme="majorHAnsi" w:hAnsiTheme="majorHAnsi" w:cstheme="majorHAnsi"/>
                <w:szCs w:val="22"/>
              </w:rPr>
              <w:t>ZaMirNET</w:t>
            </w:r>
            <w:proofErr w:type="spellEnd"/>
          </w:p>
          <w:p w14:paraId="4A09E190" w14:textId="641029F5" w:rsidR="00F7703A" w:rsidRPr="00F7703A" w:rsidRDefault="00F7703A" w:rsidP="00095F82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mmajetic@gmail.com</w:t>
            </w:r>
          </w:p>
        </w:tc>
        <w:tc>
          <w:tcPr>
            <w:tcW w:w="3600" w:type="dxa"/>
          </w:tcPr>
          <w:p w14:paraId="5C77237B" w14:textId="4057DA33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Balkan civil society capacity building NGO. Designed inception mission for community economic development for local SMEs and entrepreneurs.</w:t>
            </w:r>
          </w:p>
        </w:tc>
      </w:tr>
      <w:tr w:rsidR="00F7703A" w:rsidRPr="00F7703A" w14:paraId="33C522E9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64DEC578" w14:textId="0276243D" w:rsidR="00F7703A" w:rsidRPr="00F7703A" w:rsidRDefault="00F7703A" w:rsidP="001E0CFE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October 2000</w:t>
            </w:r>
          </w:p>
        </w:tc>
        <w:tc>
          <w:tcPr>
            <w:tcW w:w="1440" w:type="dxa"/>
          </w:tcPr>
          <w:p w14:paraId="514A6EAD" w14:textId="110382D2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Kyrgyzstan</w:t>
            </w:r>
          </w:p>
        </w:tc>
        <w:tc>
          <w:tcPr>
            <w:tcW w:w="3330" w:type="dxa"/>
          </w:tcPr>
          <w:p w14:paraId="2F84B3C6" w14:textId="6FA943AB" w:rsidR="00F7703A" w:rsidRPr="00F7703A" w:rsidRDefault="00F7703A" w:rsidP="000A2531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OSCE Gender Office</w:t>
            </w:r>
          </w:p>
        </w:tc>
        <w:tc>
          <w:tcPr>
            <w:tcW w:w="3600" w:type="dxa"/>
          </w:tcPr>
          <w:p w14:paraId="18EF6A13" w14:textId="1D22787B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Facilitation of NGO/government strategies to collaborate on bringing domestic legislation into compliance with international law: Azerbaijan, Kyrgyzstan, Uzbekistan, 2000.</w:t>
            </w:r>
          </w:p>
        </w:tc>
      </w:tr>
      <w:tr w:rsidR="00F7703A" w:rsidRPr="00F7703A" w14:paraId="50EED755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4154037D" w14:textId="1E5254D9" w:rsidR="00F7703A" w:rsidRPr="00F7703A" w:rsidRDefault="00F7703A" w:rsidP="00881D74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June 2000</w:t>
            </w:r>
          </w:p>
        </w:tc>
        <w:tc>
          <w:tcPr>
            <w:tcW w:w="1440" w:type="dxa"/>
          </w:tcPr>
          <w:p w14:paraId="4F16A774" w14:textId="578DD15D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Croatia </w:t>
            </w:r>
          </w:p>
        </w:tc>
        <w:tc>
          <w:tcPr>
            <w:tcW w:w="3330" w:type="dxa"/>
          </w:tcPr>
          <w:p w14:paraId="3322ED33" w14:textId="05A39606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CIDA Canadian International Development Agency</w:t>
            </w:r>
          </w:p>
        </w:tc>
        <w:tc>
          <w:tcPr>
            <w:tcW w:w="3600" w:type="dxa"/>
          </w:tcPr>
          <w:p w14:paraId="3DDC8BE0" w14:textId="168E5306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Facilitated NGO and government collaborative process on development of national plan on violence against women</w:t>
            </w:r>
          </w:p>
        </w:tc>
      </w:tr>
      <w:tr w:rsidR="00F7703A" w:rsidRPr="00F7703A" w14:paraId="1D2F869C" w14:textId="77777777" w:rsidTr="00F7703A">
        <w:trPr>
          <w:cantSplit/>
          <w:trHeight w:val="487"/>
          <w:jc w:val="center"/>
        </w:trPr>
        <w:tc>
          <w:tcPr>
            <w:tcW w:w="1147" w:type="dxa"/>
          </w:tcPr>
          <w:p w14:paraId="1A5E52FC" w14:textId="21C473E3" w:rsidR="00F7703A" w:rsidRPr="00F7703A" w:rsidRDefault="00F7703A" w:rsidP="00881D74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Jan – Feb 1999</w:t>
            </w:r>
          </w:p>
        </w:tc>
        <w:tc>
          <w:tcPr>
            <w:tcW w:w="1440" w:type="dxa"/>
          </w:tcPr>
          <w:p w14:paraId="2FA24897" w14:textId="13B0E0B7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Kenya, Tanzania, Ethiopia</w:t>
            </w:r>
          </w:p>
        </w:tc>
        <w:tc>
          <w:tcPr>
            <w:tcW w:w="3330" w:type="dxa"/>
          </w:tcPr>
          <w:p w14:paraId="18B25B7D" w14:textId="77777777" w:rsidR="00F7703A" w:rsidRPr="00F7703A" w:rsidRDefault="00F7703A" w:rsidP="00095F82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Women Law and Development International (WLDI)</w:t>
            </w:r>
          </w:p>
          <w:p w14:paraId="0EDB43F8" w14:textId="77777777" w:rsidR="00F7703A" w:rsidRPr="00F7703A" w:rsidRDefault="00F7703A" w:rsidP="00095F82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 xml:space="preserve">Marge Schuler </w:t>
            </w:r>
          </w:p>
          <w:p w14:paraId="7FC7A7C9" w14:textId="27F220A6" w:rsidR="00F7703A" w:rsidRPr="00F7703A" w:rsidRDefault="00F7703A" w:rsidP="00095F82">
            <w:pPr>
              <w:pStyle w:val="normaltableau"/>
              <w:spacing w:before="0" w:after="0"/>
              <w:jc w:val="left"/>
              <w:rPr>
                <w:rFonts w:asciiTheme="majorHAnsi" w:hAnsiTheme="majorHAnsi" w:cstheme="majorHAnsi"/>
                <w:szCs w:val="22"/>
              </w:rPr>
            </w:pPr>
            <w:r w:rsidRPr="00F7703A">
              <w:rPr>
                <w:rFonts w:asciiTheme="majorHAnsi" w:hAnsiTheme="majorHAnsi" w:cstheme="majorHAnsi"/>
                <w:szCs w:val="22"/>
              </w:rPr>
              <w:t>margschu@gmail.com</w:t>
            </w:r>
          </w:p>
        </w:tc>
        <w:tc>
          <w:tcPr>
            <w:tcW w:w="3600" w:type="dxa"/>
          </w:tcPr>
          <w:p w14:paraId="3432D559" w14:textId="6D51C99F" w:rsidR="00F7703A" w:rsidRPr="00F7703A" w:rsidRDefault="00F7703A" w:rsidP="004F171B">
            <w:pPr>
              <w:pStyle w:val="normaltableau"/>
              <w:jc w:val="left"/>
              <w:rPr>
                <w:rFonts w:asciiTheme="majorHAnsi" w:hAnsiTheme="majorHAnsi" w:cstheme="majorHAnsi"/>
                <w:szCs w:val="22"/>
              </w:rPr>
            </w:pPr>
            <w:r w:rsidRPr="008654DC">
              <w:rPr>
                <w:rFonts w:asciiTheme="majorHAnsi" w:hAnsiTheme="majorHAnsi" w:cstheme="majorHAnsi"/>
                <w:b/>
                <w:bCs/>
                <w:szCs w:val="22"/>
              </w:rPr>
              <w:t>Evaluation</w:t>
            </w:r>
            <w:r w:rsidRPr="00F7703A">
              <w:rPr>
                <w:rFonts w:asciiTheme="majorHAnsi" w:hAnsiTheme="majorHAnsi" w:cstheme="majorHAnsi"/>
                <w:szCs w:val="22"/>
              </w:rPr>
              <w:t xml:space="preserve"> of WDI projects in East Africa </w:t>
            </w:r>
            <w:r w:rsidR="008654DC">
              <w:rPr>
                <w:rFonts w:asciiTheme="majorHAnsi" w:hAnsiTheme="majorHAnsi" w:cstheme="majorHAnsi"/>
                <w:szCs w:val="22"/>
              </w:rPr>
              <w:t xml:space="preserve">for donor, </w:t>
            </w:r>
            <w:r w:rsidRPr="00F7703A">
              <w:rPr>
                <w:rFonts w:asciiTheme="majorHAnsi" w:hAnsiTheme="majorHAnsi" w:cstheme="majorHAnsi"/>
                <w:szCs w:val="22"/>
              </w:rPr>
              <w:t>Banyan Tree Foundation.</w:t>
            </w:r>
          </w:p>
        </w:tc>
      </w:tr>
    </w:tbl>
    <w:p w14:paraId="0B78FF47" w14:textId="6C8F45C4" w:rsidR="00856176" w:rsidRPr="00F7703A" w:rsidRDefault="00856176" w:rsidP="00856176">
      <w:pPr>
        <w:jc w:val="left"/>
        <w:rPr>
          <w:rFonts w:asciiTheme="majorHAnsi" w:hAnsiTheme="majorHAnsi" w:cstheme="majorHAnsi"/>
          <w:b/>
          <w:szCs w:val="22"/>
          <w:lang w:val="en-US"/>
        </w:rPr>
      </w:pPr>
    </w:p>
    <w:bookmarkEnd w:id="0"/>
    <w:p w14:paraId="473EAE5D" w14:textId="4AB3FB47" w:rsidR="000E2EA5" w:rsidRPr="00F7703A" w:rsidRDefault="000E2EA5" w:rsidP="00856176">
      <w:pPr>
        <w:jc w:val="left"/>
        <w:rPr>
          <w:rFonts w:asciiTheme="majorHAnsi" w:hAnsiTheme="majorHAnsi" w:cstheme="majorHAnsi"/>
          <w:b/>
          <w:szCs w:val="22"/>
          <w:lang w:val="en-US"/>
        </w:rPr>
      </w:pPr>
    </w:p>
    <w:sectPr w:rsidR="000E2EA5" w:rsidRPr="00F7703A" w:rsidSect="00F7703A">
      <w:footerReference w:type="default" r:id="rId9"/>
      <w:type w:val="evenPage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667A" w14:textId="77777777" w:rsidR="00224DE3" w:rsidRDefault="00224DE3" w:rsidP="00856176">
      <w:pPr>
        <w:spacing w:line="240" w:lineRule="auto"/>
      </w:pPr>
      <w:r>
        <w:separator/>
      </w:r>
    </w:p>
  </w:endnote>
  <w:endnote w:type="continuationSeparator" w:id="0">
    <w:p w14:paraId="3144EF5D" w14:textId="77777777" w:rsidR="00224DE3" w:rsidRDefault="00224DE3" w:rsidP="00856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788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4527" w14:textId="412F5B0A" w:rsidR="00EA2DDB" w:rsidRDefault="00EA2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660554B" w14:textId="77777777" w:rsidR="00EA2DDB" w:rsidRDefault="00EA2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C625" w14:textId="77777777" w:rsidR="00224DE3" w:rsidRDefault="00224DE3" w:rsidP="00856176">
      <w:pPr>
        <w:spacing w:line="240" w:lineRule="auto"/>
      </w:pPr>
      <w:r>
        <w:separator/>
      </w:r>
    </w:p>
  </w:footnote>
  <w:footnote w:type="continuationSeparator" w:id="0">
    <w:p w14:paraId="6808E4F8" w14:textId="77777777" w:rsidR="00224DE3" w:rsidRDefault="00224DE3" w:rsidP="008561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1A5"/>
    <w:multiLevelType w:val="hybridMultilevel"/>
    <w:tmpl w:val="D2DE0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656D"/>
    <w:multiLevelType w:val="multilevel"/>
    <w:tmpl w:val="873E003A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333399"/>
        <w:sz w:val="22"/>
      </w:rPr>
    </w:lvl>
    <w:lvl w:ilvl="1">
      <w:start w:val="1"/>
      <w:numFmt w:val="decimal"/>
      <w:lvlRestart w:val="0"/>
      <w:pStyle w:val="titulo2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hint="default"/>
        <w:b/>
        <w:i w:val="0"/>
        <w:color w:val="333399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4C9127C8"/>
    <w:multiLevelType w:val="hybridMultilevel"/>
    <w:tmpl w:val="4C6E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55FC"/>
    <w:multiLevelType w:val="hybridMultilevel"/>
    <w:tmpl w:val="27F42848"/>
    <w:lvl w:ilvl="0" w:tplc="7A7A2610">
      <w:start w:val="1"/>
      <w:numFmt w:val="bullet"/>
      <w:pStyle w:val="Heading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76"/>
    <w:rsid w:val="00011D6B"/>
    <w:rsid w:val="000358A2"/>
    <w:rsid w:val="0007155E"/>
    <w:rsid w:val="00095F82"/>
    <w:rsid w:val="000A2531"/>
    <w:rsid w:val="000E2BC4"/>
    <w:rsid w:val="000E2EA5"/>
    <w:rsid w:val="001373FF"/>
    <w:rsid w:val="00142D32"/>
    <w:rsid w:val="00176EB9"/>
    <w:rsid w:val="00183F27"/>
    <w:rsid w:val="001C69E4"/>
    <w:rsid w:val="001E0CFE"/>
    <w:rsid w:val="00224DE3"/>
    <w:rsid w:val="002526DC"/>
    <w:rsid w:val="00274D1F"/>
    <w:rsid w:val="0027771C"/>
    <w:rsid w:val="00286EE5"/>
    <w:rsid w:val="002D5124"/>
    <w:rsid w:val="003214E1"/>
    <w:rsid w:val="0033444C"/>
    <w:rsid w:val="00347C84"/>
    <w:rsid w:val="003C0523"/>
    <w:rsid w:val="003D102A"/>
    <w:rsid w:val="003F212E"/>
    <w:rsid w:val="00404328"/>
    <w:rsid w:val="00432C3F"/>
    <w:rsid w:val="0043740D"/>
    <w:rsid w:val="00445676"/>
    <w:rsid w:val="004F171B"/>
    <w:rsid w:val="00560964"/>
    <w:rsid w:val="005B5493"/>
    <w:rsid w:val="006076A5"/>
    <w:rsid w:val="0062529E"/>
    <w:rsid w:val="0063732B"/>
    <w:rsid w:val="006538AC"/>
    <w:rsid w:val="00683C00"/>
    <w:rsid w:val="006E2C8C"/>
    <w:rsid w:val="006E7984"/>
    <w:rsid w:val="00721CFC"/>
    <w:rsid w:val="007B3A77"/>
    <w:rsid w:val="007B6853"/>
    <w:rsid w:val="007C241C"/>
    <w:rsid w:val="00833C58"/>
    <w:rsid w:val="00856176"/>
    <w:rsid w:val="008654DC"/>
    <w:rsid w:val="00881D74"/>
    <w:rsid w:val="008B5B26"/>
    <w:rsid w:val="00952944"/>
    <w:rsid w:val="00961FB8"/>
    <w:rsid w:val="00965B20"/>
    <w:rsid w:val="009C3606"/>
    <w:rsid w:val="009E7BE7"/>
    <w:rsid w:val="00A403E4"/>
    <w:rsid w:val="00A422C3"/>
    <w:rsid w:val="00AC5E8E"/>
    <w:rsid w:val="00AD0686"/>
    <w:rsid w:val="00AF735D"/>
    <w:rsid w:val="00B2258B"/>
    <w:rsid w:val="00B66D11"/>
    <w:rsid w:val="00BD1FA7"/>
    <w:rsid w:val="00BD4840"/>
    <w:rsid w:val="00BE65EB"/>
    <w:rsid w:val="00C10A34"/>
    <w:rsid w:val="00C22448"/>
    <w:rsid w:val="00C37261"/>
    <w:rsid w:val="00C63FC6"/>
    <w:rsid w:val="00C7482B"/>
    <w:rsid w:val="00C93FA0"/>
    <w:rsid w:val="00CA2717"/>
    <w:rsid w:val="00CC12F9"/>
    <w:rsid w:val="00CE33C4"/>
    <w:rsid w:val="00CE54AC"/>
    <w:rsid w:val="00D04995"/>
    <w:rsid w:val="00D66B14"/>
    <w:rsid w:val="00DC4884"/>
    <w:rsid w:val="00DC6BC9"/>
    <w:rsid w:val="00DE231D"/>
    <w:rsid w:val="00DE604C"/>
    <w:rsid w:val="00DF423B"/>
    <w:rsid w:val="00E11AF3"/>
    <w:rsid w:val="00E36DB2"/>
    <w:rsid w:val="00E73AFB"/>
    <w:rsid w:val="00EA2DDB"/>
    <w:rsid w:val="00EA5009"/>
    <w:rsid w:val="00F16195"/>
    <w:rsid w:val="00F17A77"/>
    <w:rsid w:val="00F4045B"/>
    <w:rsid w:val="00F53376"/>
    <w:rsid w:val="00F7703A"/>
    <w:rsid w:val="00F840E8"/>
    <w:rsid w:val="00F9437E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78B2E"/>
  <w14:defaultImageDpi w14:val="300"/>
  <w15:docId w15:val="{8D9CA538-3357-412D-B29E-F58ABBA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"/>
    <w:qFormat/>
    <w:rsid w:val="00856176"/>
    <w:pPr>
      <w:spacing w:line="240" w:lineRule="exact"/>
      <w:ind w:right="45"/>
      <w:jc w:val="both"/>
    </w:pPr>
    <w:rPr>
      <w:rFonts w:ascii="Garamond" w:eastAsia="Times New Roman" w:hAnsi="Garamond" w:cs="Times New Roman"/>
      <w:sz w:val="22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Right Column Bullets"/>
    <w:next w:val="Normal"/>
    <w:link w:val="Heading5Char"/>
    <w:unhideWhenUsed/>
    <w:qFormat/>
    <w:rsid w:val="00C37261"/>
    <w:pPr>
      <w:keepNext/>
      <w:numPr>
        <w:numId w:val="2"/>
      </w:numPr>
      <w:outlineLvl w:val="4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856176"/>
    <w:pPr>
      <w:spacing w:before="120" w:after="120" w:line="240" w:lineRule="auto"/>
      <w:ind w:right="0"/>
    </w:pPr>
    <w:rPr>
      <w:rFonts w:ascii="Optima" w:hAnsi="Optima"/>
      <w:szCs w:val="20"/>
      <w:lang w:val="en-GB" w:eastAsia="en-GB"/>
    </w:rPr>
  </w:style>
  <w:style w:type="paragraph" w:customStyle="1" w:styleId="titulo2">
    <w:name w:val="titulo 2"/>
    <w:basedOn w:val="Normal"/>
    <w:rsid w:val="00856176"/>
    <w:pPr>
      <w:numPr>
        <w:ilvl w:val="1"/>
        <w:numId w:val="1"/>
      </w:numPr>
      <w:spacing w:line="240" w:lineRule="auto"/>
      <w:jc w:val="left"/>
    </w:pPr>
    <w:rPr>
      <w:rFonts w:ascii="Verdana" w:hAnsi="Verdana"/>
      <w:b/>
      <w:bCs/>
      <w:color w:val="333399"/>
      <w:sz w:val="20"/>
      <w:u w:color="333399"/>
      <w:lang w:val="en-GB"/>
    </w:rPr>
  </w:style>
  <w:style w:type="paragraph" w:customStyle="1" w:styleId="titulo1">
    <w:name w:val="titulo 1"/>
    <w:basedOn w:val="Normal"/>
    <w:rsid w:val="00856176"/>
    <w:pPr>
      <w:numPr>
        <w:numId w:val="1"/>
      </w:numPr>
      <w:jc w:val="left"/>
    </w:pPr>
    <w:rPr>
      <w:rFonts w:ascii="Verdana" w:hAnsi="Verdana"/>
      <w:b/>
      <w:color w:val="333399"/>
      <w:u w:val="thick" w:color="333399"/>
      <w:lang w:val="en-GB"/>
    </w:rPr>
  </w:style>
  <w:style w:type="character" w:styleId="FootnoteReference">
    <w:name w:val="footnote reference"/>
    <w:basedOn w:val="DefaultParagraphFont"/>
    <w:semiHidden/>
    <w:rsid w:val="008561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56176"/>
    <w:pPr>
      <w:spacing w:line="240" w:lineRule="auto"/>
      <w:ind w:right="0"/>
      <w:jc w:val="left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56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5Char">
    <w:name w:val="Heading 5 Char"/>
    <w:aliases w:val="Right Column Bullets Char"/>
    <w:basedOn w:val="DefaultParagraphFont"/>
    <w:link w:val="Heading5"/>
    <w:rsid w:val="00C37261"/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D6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s-ES" w:eastAsia="es-ES"/>
    </w:rPr>
  </w:style>
  <w:style w:type="character" w:styleId="Hyperlink">
    <w:name w:val="Hyperlink"/>
    <w:basedOn w:val="DefaultParagraphFont"/>
    <w:unhideWhenUsed/>
    <w:rsid w:val="00011D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1D6B"/>
  </w:style>
  <w:style w:type="character" w:customStyle="1" w:styleId="gd">
    <w:name w:val="gd"/>
    <w:basedOn w:val="DefaultParagraphFont"/>
    <w:rsid w:val="001373FF"/>
  </w:style>
  <w:style w:type="character" w:customStyle="1" w:styleId="go">
    <w:name w:val="go"/>
    <w:basedOn w:val="DefaultParagraphFont"/>
    <w:rsid w:val="0013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1373FF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EA2D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B"/>
    <w:rPr>
      <w:rFonts w:ascii="Garamond" w:eastAsia="Times New Roman" w:hAnsi="Garamond" w:cs="Times New Roman"/>
      <w:sz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A2D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B"/>
    <w:rPr>
      <w:rFonts w:ascii="Garamond" w:eastAsia="Times New Roman" w:hAnsi="Garamond" w:cs="Times New Roman"/>
      <w:sz w:val="22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04995"/>
    <w:rPr>
      <w:color w:val="808080"/>
      <w:shd w:val="clear" w:color="auto" w:fill="E6E6E6"/>
    </w:rPr>
  </w:style>
  <w:style w:type="paragraph" w:customStyle="1" w:styleId="bullet">
    <w:name w:val="bullet"/>
    <w:basedOn w:val="Normal"/>
    <w:rsid w:val="00952944"/>
    <w:pPr>
      <w:spacing w:line="240" w:lineRule="atLeast"/>
      <w:ind w:left="180" w:right="0" w:hanging="180"/>
      <w:jc w:val="left"/>
    </w:pPr>
    <w:rPr>
      <w:rFonts w:ascii="Book Antiqua" w:hAnsi="Book Antiqua"/>
      <w:color w:val="000000"/>
      <w:sz w:val="20"/>
      <w:szCs w:val="20"/>
      <w:lang w:val="en-US" w:eastAsia="de-DE"/>
    </w:rPr>
  </w:style>
  <w:style w:type="table" w:styleId="TableGrid">
    <w:name w:val="Table Grid"/>
    <w:basedOn w:val="TableNormal"/>
    <w:uiPriority w:val="39"/>
    <w:rsid w:val="006538AC"/>
    <w:pPr>
      <w:spacing w:before="60" w:after="60"/>
    </w:pPr>
    <w:rPr>
      <w:rFonts w:ascii="Times New Roman" w:eastAsia="Calibri" w:hAnsi="Times New Roman" w:cs="Times New Roman"/>
      <w:sz w:val="20"/>
      <w:szCs w:val="20"/>
      <w:lang w:val="en-US" w:eastAsia="nso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ntuya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DAA-3422-41A7-B6E3-1E616922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PEMconsult A/S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Morgan</dc:creator>
  <cp:keywords/>
  <dc:description/>
  <cp:lastModifiedBy>sbazilli</cp:lastModifiedBy>
  <cp:revision>2</cp:revision>
  <dcterms:created xsi:type="dcterms:W3CDTF">2019-06-25T20:44:00Z</dcterms:created>
  <dcterms:modified xsi:type="dcterms:W3CDTF">2019-06-25T20:44:00Z</dcterms:modified>
</cp:coreProperties>
</file>